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46" w:rsidRPr="00C97575" w:rsidRDefault="00D50046" w:rsidP="00D50046">
      <w:pPr>
        <w:spacing w:after="120"/>
        <w:rPr>
          <w:rFonts w:ascii="Candara" w:hAnsi="Candara" w:cs="Arial"/>
          <w:b/>
          <w:sz w:val="22"/>
          <w:szCs w:val="20"/>
          <w:u w:val="single"/>
          <w:lang w:val="en-GB"/>
        </w:rPr>
      </w:pPr>
      <w:r w:rsidRPr="00C97575">
        <w:rPr>
          <w:rFonts w:ascii="Candara" w:hAnsi="Candara" w:cs="Arial"/>
          <w:b/>
          <w:sz w:val="22"/>
          <w:szCs w:val="20"/>
          <w:u w:val="single"/>
          <w:lang w:val="en-GB"/>
        </w:rPr>
        <w:t>ASSAM</w:t>
      </w:r>
    </w:p>
    <w:p w:rsidR="00D50046" w:rsidRPr="001F6E02" w:rsidRDefault="00D50046" w:rsidP="00D50046">
      <w:pPr>
        <w:spacing w:after="120"/>
        <w:rPr>
          <w:rFonts w:ascii="Candara" w:hAnsi="Candara" w:cs="Arial"/>
          <w:b/>
          <w:sz w:val="20"/>
          <w:szCs w:val="20"/>
          <w:lang w:val="en-GB"/>
        </w:rPr>
      </w:pPr>
      <w:r w:rsidRPr="00097D1E">
        <w:rPr>
          <w:rFonts w:ascii="Candara" w:hAnsi="Candara" w:cs="Arial"/>
          <w:b/>
          <w:sz w:val="20"/>
          <w:szCs w:val="20"/>
          <w:lang w:val="en-GB"/>
        </w:rPr>
        <w:t xml:space="preserve">Part 1: Status of </w:t>
      </w:r>
      <w:proofErr w:type="spellStart"/>
      <w:r w:rsidRPr="00097D1E">
        <w:rPr>
          <w:rFonts w:ascii="Candara" w:hAnsi="Candara" w:cs="Arial"/>
          <w:b/>
          <w:sz w:val="20"/>
          <w:szCs w:val="20"/>
          <w:lang w:val="en-GB"/>
        </w:rPr>
        <w:t>deworming</w:t>
      </w:r>
      <w:proofErr w:type="spellEnd"/>
    </w:p>
    <w:p w:rsidR="00D50046" w:rsidRDefault="00D50046" w:rsidP="00D50046">
      <w:pPr>
        <w:spacing w:after="120" w:line="276" w:lineRule="auto"/>
        <w:rPr>
          <w:rFonts w:ascii="Candara" w:hAnsi="Candara" w:cs="Arial"/>
          <w:sz w:val="20"/>
          <w:szCs w:val="20"/>
          <w:lang w:val="en-GB"/>
        </w:rPr>
      </w:pPr>
      <w:proofErr w:type="gramStart"/>
      <w:r w:rsidRPr="0055275E">
        <w:rPr>
          <w:rFonts w:ascii="Candara" w:hAnsi="Candara" w:cs="Arial"/>
          <w:sz w:val="20"/>
          <w:szCs w:val="20"/>
          <w:lang w:val="en-GB"/>
        </w:rPr>
        <w:t>Children under 6 years of age account for 16% of the population (4.4 million), marginally above the national average of 15.4%.</w:t>
      </w:r>
      <w:proofErr w:type="gramEnd"/>
      <w:r w:rsidRPr="0055275E">
        <w:rPr>
          <w:rFonts w:ascii="Candara" w:hAnsi="Candara" w:cs="Arial"/>
          <w:sz w:val="20"/>
          <w:szCs w:val="20"/>
          <w:lang w:val="en-GB"/>
        </w:rPr>
        <w:t xml:space="preserve">  </w:t>
      </w:r>
    </w:p>
    <w:p w:rsidR="00D50046" w:rsidRPr="00B869C9" w:rsidRDefault="00D50046" w:rsidP="00D50046">
      <w:pPr>
        <w:spacing w:after="120" w:line="276" w:lineRule="auto"/>
        <w:rPr>
          <w:rFonts w:ascii="Candara" w:hAnsi="Candara" w:cs="Arial"/>
          <w:b/>
          <w:sz w:val="20"/>
          <w:szCs w:val="20"/>
          <w:lang w:val="en-GB"/>
        </w:rPr>
      </w:pPr>
      <w:r w:rsidRPr="00B869C9">
        <w:rPr>
          <w:rFonts w:ascii="Candara" w:hAnsi="Candara" w:cs="Arial"/>
          <w:b/>
          <w:sz w:val="20"/>
          <w:szCs w:val="20"/>
          <w:lang w:val="en-GB"/>
        </w:rPr>
        <w:t>Government Initiatives:</w:t>
      </w:r>
    </w:p>
    <w:p w:rsidR="00D50046" w:rsidRPr="004722DE" w:rsidRDefault="00D50046" w:rsidP="00D50046">
      <w:pPr>
        <w:pStyle w:val="ListParagraph"/>
        <w:numPr>
          <w:ilvl w:val="0"/>
          <w:numId w:val="2"/>
        </w:numPr>
        <w:spacing w:after="120" w:line="276" w:lineRule="auto"/>
        <w:contextualSpacing w:val="0"/>
        <w:rPr>
          <w:rFonts w:ascii="Candara" w:hAnsi="Candara" w:cs="Arial"/>
          <w:i/>
          <w:sz w:val="20"/>
          <w:szCs w:val="20"/>
          <w:lang w:val="en-GB"/>
        </w:rPr>
      </w:pPr>
      <w:r w:rsidRPr="004722DE">
        <w:rPr>
          <w:rFonts w:ascii="Candara" w:hAnsi="Candara" w:cs="Arial"/>
          <w:i/>
          <w:sz w:val="20"/>
          <w:szCs w:val="20"/>
          <w:u w:val="single"/>
          <w:lang w:val="en-GB"/>
        </w:rPr>
        <w:t>Integrated Child Development Services (ICDS) and National Rural Health Mission (NRHM):</w:t>
      </w:r>
    </w:p>
    <w:p w:rsidR="00D50046" w:rsidRPr="00730E4B" w:rsidRDefault="00D50046" w:rsidP="00D50046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Candara" w:hAnsi="Candara"/>
          <w:sz w:val="20"/>
          <w:szCs w:val="20"/>
          <w:lang w:val="en-GB"/>
        </w:rPr>
      </w:pPr>
      <w:r w:rsidRPr="00730E4B">
        <w:rPr>
          <w:rFonts w:ascii="Candara" w:hAnsi="Candara"/>
          <w:sz w:val="20"/>
          <w:szCs w:val="20"/>
          <w:lang w:val="en-GB"/>
        </w:rPr>
        <w:t xml:space="preserve">Child health care comes under the </w:t>
      </w:r>
      <w:r w:rsidRPr="00730E4B">
        <w:rPr>
          <w:rFonts w:ascii="Candara" w:hAnsi="Candara" w:cs="Arial"/>
          <w:sz w:val="20"/>
          <w:szCs w:val="20"/>
          <w:lang w:val="en-GB"/>
        </w:rPr>
        <w:t>purview of the Reproductive and Child Health (RCH) program.</w:t>
      </w:r>
      <w:r w:rsidRPr="00730E4B">
        <w:rPr>
          <w:rFonts w:ascii="Candara" w:hAnsi="Candara"/>
          <w:sz w:val="20"/>
          <w:szCs w:val="20"/>
          <w:lang w:val="en-GB"/>
        </w:rPr>
        <w:t xml:space="preserve"> </w:t>
      </w:r>
      <w:r>
        <w:rPr>
          <w:rFonts w:ascii="Candara" w:hAnsi="Candara"/>
          <w:sz w:val="20"/>
          <w:szCs w:val="20"/>
          <w:lang w:val="en-GB"/>
        </w:rPr>
        <w:t>Supported by UNICEF.</w:t>
      </w:r>
    </w:p>
    <w:p w:rsidR="00D50046" w:rsidRDefault="00D50046" w:rsidP="00D50046">
      <w:pPr>
        <w:pStyle w:val="ListParagraph"/>
        <w:numPr>
          <w:ilvl w:val="0"/>
          <w:numId w:val="1"/>
        </w:numPr>
        <w:spacing w:after="120" w:line="276" w:lineRule="auto"/>
        <w:rPr>
          <w:rFonts w:ascii="Candara" w:hAnsi="Candara"/>
          <w:sz w:val="20"/>
          <w:szCs w:val="20"/>
          <w:lang w:val="en-GB"/>
        </w:rPr>
      </w:pPr>
      <w:r w:rsidRPr="0055275E">
        <w:rPr>
          <w:rFonts w:ascii="Candara" w:hAnsi="Candara"/>
          <w:sz w:val="20"/>
          <w:szCs w:val="20"/>
          <w:lang w:val="en-GB"/>
        </w:rPr>
        <w:t>Mother and Child Health Month</w:t>
      </w:r>
      <w:r>
        <w:rPr>
          <w:rFonts w:ascii="Candara" w:hAnsi="Candara"/>
          <w:sz w:val="20"/>
          <w:szCs w:val="20"/>
          <w:lang w:val="en-GB"/>
        </w:rPr>
        <w:t xml:space="preserve"> 2008/9</w:t>
      </w:r>
      <w:r w:rsidRPr="0055275E">
        <w:rPr>
          <w:rFonts w:ascii="Candara" w:hAnsi="Candara"/>
          <w:sz w:val="20"/>
          <w:szCs w:val="20"/>
          <w:lang w:val="en-GB"/>
        </w:rPr>
        <w:t>:</w:t>
      </w:r>
      <w:r>
        <w:rPr>
          <w:rFonts w:ascii="Candara" w:hAnsi="Candara"/>
          <w:sz w:val="20"/>
          <w:szCs w:val="20"/>
          <w:lang w:val="en-GB"/>
        </w:rPr>
        <w:t xml:space="preserve"> </w:t>
      </w:r>
      <w:r w:rsidRPr="0055275E">
        <w:rPr>
          <w:rFonts w:ascii="Candara" w:hAnsi="Candara"/>
          <w:sz w:val="20"/>
          <w:szCs w:val="20"/>
          <w:lang w:val="en-GB"/>
        </w:rPr>
        <w:t xml:space="preserve">September and March in all districts of Assam are dedicated to promoting awareness on child health and improving service delivery. During </w:t>
      </w:r>
      <w:r>
        <w:rPr>
          <w:rFonts w:ascii="Candara" w:hAnsi="Candara"/>
          <w:sz w:val="20"/>
          <w:szCs w:val="20"/>
          <w:lang w:val="en-GB"/>
        </w:rPr>
        <w:t>the MCH month, the emphasis is</w:t>
      </w:r>
      <w:r w:rsidRPr="0055275E">
        <w:rPr>
          <w:rFonts w:ascii="Candara" w:hAnsi="Candara"/>
          <w:sz w:val="20"/>
          <w:szCs w:val="20"/>
          <w:lang w:val="en-GB"/>
        </w:rPr>
        <w:t xml:space="preserve"> on the provision</w:t>
      </w:r>
      <w:r>
        <w:rPr>
          <w:rFonts w:ascii="Candara" w:hAnsi="Candara"/>
          <w:sz w:val="20"/>
          <w:szCs w:val="20"/>
          <w:lang w:val="en-GB"/>
        </w:rPr>
        <w:t xml:space="preserve"> </w:t>
      </w:r>
      <w:proofErr w:type="spellStart"/>
      <w:r>
        <w:rPr>
          <w:rFonts w:ascii="Candara" w:hAnsi="Candara"/>
          <w:sz w:val="20"/>
          <w:szCs w:val="20"/>
          <w:lang w:val="en-GB"/>
        </w:rPr>
        <w:t>deworming</w:t>
      </w:r>
      <w:proofErr w:type="spellEnd"/>
      <w:r>
        <w:rPr>
          <w:rFonts w:ascii="Candara" w:hAnsi="Candara"/>
          <w:sz w:val="20"/>
          <w:szCs w:val="20"/>
          <w:lang w:val="en-GB"/>
        </w:rPr>
        <w:t xml:space="preserve"> of children 1-5 years of age (amongst other activities) at </w:t>
      </w:r>
      <w:proofErr w:type="spellStart"/>
      <w:r>
        <w:rPr>
          <w:rFonts w:ascii="Candara" w:hAnsi="Candara"/>
          <w:sz w:val="20"/>
          <w:szCs w:val="20"/>
          <w:lang w:val="en-GB"/>
        </w:rPr>
        <w:t>AWCs</w:t>
      </w:r>
      <w:proofErr w:type="spellEnd"/>
      <w:r>
        <w:rPr>
          <w:rFonts w:ascii="Candara" w:hAnsi="Candara"/>
          <w:sz w:val="20"/>
          <w:szCs w:val="20"/>
          <w:lang w:val="en-GB"/>
        </w:rPr>
        <w:t xml:space="preserve">. </w:t>
      </w:r>
      <w:r w:rsidRPr="0055275E">
        <w:rPr>
          <w:rFonts w:ascii="Candara" w:hAnsi="Candara"/>
          <w:sz w:val="20"/>
          <w:szCs w:val="20"/>
          <w:lang w:val="en-GB"/>
        </w:rPr>
        <w:t xml:space="preserve"> </w:t>
      </w:r>
    </w:p>
    <w:p w:rsidR="00D50046" w:rsidRPr="0055275E" w:rsidRDefault="00D50046" w:rsidP="00D50046">
      <w:pPr>
        <w:pStyle w:val="ListParagraph"/>
        <w:numPr>
          <w:ilvl w:val="0"/>
          <w:numId w:val="1"/>
        </w:numPr>
        <w:spacing w:after="120" w:line="276" w:lineRule="auto"/>
        <w:rPr>
          <w:rFonts w:ascii="Candara" w:hAnsi="Candara"/>
          <w:sz w:val="20"/>
          <w:szCs w:val="20"/>
          <w:lang w:val="en-GB"/>
        </w:rPr>
      </w:pPr>
      <w:r>
        <w:rPr>
          <w:rFonts w:ascii="Candara" w:hAnsi="Candara"/>
          <w:sz w:val="20"/>
          <w:szCs w:val="20"/>
          <w:lang w:val="en-GB"/>
        </w:rPr>
        <w:t>In 2010/11, 92,957 children were given IFA/</w:t>
      </w:r>
      <w:proofErr w:type="spellStart"/>
      <w:r>
        <w:rPr>
          <w:rFonts w:ascii="Candara" w:hAnsi="Candara"/>
          <w:sz w:val="20"/>
          <w:szCs w:val="20"/>
          <w:lang w:val="en-GB"/>
        </w:rPr>
        <w:t>deworming</w:t>
      </w:r>
      <w:proofErr w:type="spellEnd"/>
      <w:r>
        <w:rPr>
          <w:rFonts w:ascii="Candara" w:hAnsi="Candara"/>
          <w:sz w:val="20"/>
          <w:szCs w:val="20"/>
          <w:lang w:val="en-GB"/>
        </w:rPr>
        <w:t xml:space="preserve"> tablets.</w:t>
      </w:r>
    </w:p>
    <w:p w:rsidR="00D50046" w:rsidRDefault="00D50046" w:rsidP="00D50046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Candara" w:hAnsi="Candara"/>
          <w:sz w:val="20"/>
          <w:szCs w:val="20"/>
          <w:lang w:val="en-GB"/>
        </w:rPr>
      </w:pPr>
      <w:r>
        <w:rPr>
          <w:rFonts w:ascii="Candara" w:hAnsi="Candara"/>
          <w:sz w:val="20"/>
          <w:szCs w:val="20"/>
          <w:lang w:val="en-GB"/>
        </w:rPr>
        <w:t xml:space="preserve">Supposed to provide </w:t>
      </w:r>
      <w:proofErr w:type="spellStart"/>
      <w:r>
        <w:rPr>
          <w:rFonts w:ascii="Candara" w:hAnsi="Candara"/>
          <w:sz w:val="20"/>
          <w:szCs w:val="20"/>
          <w:lang w:val="en-GB"/>
        </w:rPr>
        <w:t>deworming</w:t>
      </w:r>
      <w:proofErr w:type="spellEnd"/>
      <w:r>
        <w:rPr>
          <w:rFonts w:ascii="Candara" w:hAnsi="Candara"/>
          <w:sz w:val="20"/>
          <w:szCs w:val="20"/>
          <w:lang w:val="en-GB"/>
        </w:rPr>
        <w:t xml:space="preserve"> to all children, but </w:t>
      </w:r>
      <w:r w:rsidRPr="0055275E">
        <w:rPr>
          <w:rFonts w:ascii="Candara" w:hAnsi="Candara"/>
          <w:sz w:val="20"/>
          <w:szCs w:val="20"/>
          <w:lang w:val="en-GB"/>
        </w:rPr>
        <w:t xml:space="preserve">AWC services provided in Assam are </w:t>
      </w:r>
      <w:r>
        <w:rPr>
          <w:rFonts w:ascii="Candara" w:hAnsi="Candara"/>
          <w:sz w:val="20"/>
          <w:szCs w:val="20"/>
          <w:lang w:val="en-GB"/>
        </w:rPr>
        <w:t>som</w:t>
      </w:r>
      <w:r w:rsidRPr="0055275E">
        <w:rPr>
          <w:rFonts w:ascii="Candara" w:hAnsi="Candara"/>
          <w:sz w:val="20"/>
          <w:szCs w:val="20"/>
          <w:lang w:val="en-GB"/>
        </w:rPr>
        <w:t xml:space="preserve">e of the worst performers for </w:t>
      </w:r>
      <w:proofErr w:type="spellStart"/>
      <w:r w:rsidRPr="0055275E">
        <w:rPr>
          <w:rFonts w:ascii="Candara" w:hAnsi="Candara"/>
          <w:sz w:val="20"/>
          <w:szCs w:val="20"/>
          <w:lang w:val="en-GB"/>
        </w:rPr>
        <w:t>deworming</w:t>
      </w:r>
      <w:proofErr w:type="spellEnd"/>
      <w:r w:rsidRPr="0055275E">
        <w:rPr>
          <w:rFonts w:ascii="Candara" w:hAnsi="Candara"/>
          <w:sz w:val="20"/>
          <w:szCs w:val="20"/>
          <w:lang w:val="en-GB"/>
        </w:rPr>
        <w:t xml:space="preserve"> coverage. </w:t>
      </w:r>
    </w:p>
    <w:p w:rsidR="00D50046" w:rsidRPr="0055275E" w:rsidRDefault="00D50046" w:rsidP="00D50046">
      <w:pPr>
        <w:pStyle w:val="ListParagraph"/>
        <w:numPr>
          <w:ilvl w:val="0"/>
          <w:numId w:val="2"/>
        </w:numPr>
        <w:spacing w:after="120" w:line="276" w:lineRule="auto"/>
        <w:rPr>
          <w:rFonts w:ascii="Candara" w:hAnsi="Candara" w:cs="Arial"/>
          <w:i/>
          <w:sz w:val="20"/>
          <w:szCs w:val="20"/>
          <w:lang w:val="en-GB"/>
        </w:rPr>
      </w:pPr>
      <w:r>
        <w:rPr>
          <w:rFonts w:ascii="Candara" w:hAnsi="Candara" w:cs="Arial"/>
          <w:i/>
          <w:sz w:val="20"/>
          <w:szCs w:val="20"/>
          <w:u w:val="single"/>
          <w:lang w:val="en-GB"/>
        </w:rPr>
        <w:t>School Health Programme:</w:t>
      </w:r>
    </w:p>
    <w:p w:rsidR="00D50046" w:rsidRDefault="00D50046" w:rsidP="00D50046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Candara" w:hAnsi="Candara"/>
          <w:sz w:val="20"/>
          <w:szCs w:val="20"/>
          <w:lang w:val="en-GB"/>
        </w:rPr>
      </w:pPr>
      <w:r w:rsidRPr="0055275E">
        <w:rPr>
          <w:rFonts w:ascii="Candara" w:hAnsi="Candara"/>
          <w:sz w:val="20"/>
          <w:szCs w:val="20"/>
          <w:lang w:val="en-GB"/>
        </w:rPr>
        <w:t xml:space="preserve">No schools in Assam have been covered under the School Health Program to provide </w:t>
      </w:r>
      <w:proofErr w:type="spellStart"/>
      <w:r w:rsidRPr="0055275E">
        <w:rPr>
          <w:rFonts w:ascii="Candara" w:hAnsi="Candara"/>
          <w:sz w:val="20"/>
          <w:szCs w:val="20"/>
          <w:lang w:val="en-GB"/>
        </w:rPr>
        <w:t>deworming</w:t>
      </w:r>
      <w:proofErr w:type="spellEnd"/>
      <w:r w:rsidRPr="0055275E">
        <w:rPr>
          <w:rFonts w:ascii="Candara" w:hAnsi="Candara"/>
          <w:sz w:val="20"/>
          <w:szCs w:val="20"/>
          <w:lang w:val="en-GB"/>
        </w:rPr>
        <w:t xml:space="preserve"> in 2012/13. </w:t>
      </w:r>
    </w:p>
    <w:p w:rsidR="00D50046" w:rsidRDefault="00D50046" w:rsidP="00D50046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Candara" w:hAnsi="Candara"/>
          <w:sz w:val="20"/>
          <w:szCs w:val="20"/>
          <w:lang w:val="en-GB"/>
        </w:rPr>
      </w:pPr>
      <w:r w:rsidRPr="0055275E">
        <w:rPr>
          <w:rFonts w:ascii="Candara" w:hAnsi="Candara"/>
          <w:sz w:val="20"/>
          <w:szCs w:val="20"/>
          <w:lang w:val="en-GB"/>
        </w:rPr>
        <w:t>The programme was</w:t>
      </w:r>
      <w:r>
        <w:rPr>
          <w:rFonts w:ascii="Candara" w:hAnsi="Candara"/>
          <w:sz w:val="20"/>
          <w:szCs w:val="20"/>
          <w:lang w:val="en-GB"/>
        </w:rPr>
        <w:t xml:space="preserve"> then re-scheduled to </w:t>
      </w:r>
      <w:r w:rsidRPr="0055275E">
        <w:rPr>
          <w:rFonts w:ascii="Candara" w:hAnsi="Candara"/>
          <w:sz w:val="20"/>
          <w:szCs w:val="20"/>
          <w:lang w:val="en-GB"/>
        </w:rPr>
        <w:t xml:space="preserve">begin in </w:t>
      </w:r>
      <w:r>
        <w:rPr>
          <w:rFonts w:ascii="Candara" w:hAnsi="Candara"/>
          <w:sz w:val="20"/>
          <w:szCs w:val="20"/>
          <w:lang w:val="en-GB"/>
        </w:rPr>
        <w:t xml:space="preserve">March 2013. No evidence of this </w:t>
      </w:r>
      <w:proofErr w:type="gramStart"/>
      <w:r>
        <w:rPr>
          <w:rFonts w:ascii="Candara" w:hAnsi="Candara"/>
          <w:sz w:val="20"/>
          <w:szCs w:val="20"/>
          <w:lang w:val="en-GB"/>
        </w:rPr>
        <w:t>actually  having</w:t>
      </w:r>
      <w:proofErr w:type="gramEnd"/>
      <w:r>
        <w:rPr>
          <w:rFonts w:ascii="Candara" w:hAnsi="Candara"/>
          <w:sz w:val="20"/>
          <w:szCs w:val="20"/>
          <w:lang w:val="en-GB"/>
        </w:rPr>
        <w:t xml:space="preserve"> taken place.</w:t>
      </w:r>
    </w:p>
    <w:p w:rsidR="00D50046" w:rsidRDefault="00D50046" w:rsidP="00D50046">
      <w:pPr>
        <w:spacing w:after="120"/>
        <w:rPr>
          <w:rFonts w:ascii="Candara" w:hAnsi="Candara" w:cs="Arial"/>
          <w:b/>
          <w:sz w:val="20"/>
          <w:szCs w:val="20"/>
          <w:lang w:val="en-GB"/>
        </w:rPr>
      </w:pPr>
      <w:r>
        <w:rPr>
          <w:rFonts w:ascii="Candara" w:hAnsi="Candara" w:cs="Arial"/>
          <w:b/>
          <w:sz w:val="20"/>
          <w:szCs w:val="20"/>
          <w:lang w:val="en-GB"/>
        </w:rPr>
        <w:t>Part 2</w:t>
      </w:r>
      <w:r w:rsidRPr="00730E4B">
        <w:rPr>
          <w:rFonts w:ascii="Candara" w:hAnsi="Candara" w:cs="Arial"/>
          <w:b/>
          <w:sz w:val="20"/>
          <w:szCs w:val="20"/>
          <w:lang w:val="en-GB"/>
        </w:rPr>
        <w:t xml:space="preserve">: </w:t>
      </w:r>
      <w:r>
        <w:rPr>
          <w:rFonts w:ascii="Candara" w:hAnsi="Candara" w:cs="Arial"/>
          <w:b/>
          <w:sz w:val="20"/>
          <w:szCs w:val="20"/>
          <w:lang w:val="en-GB"/>
        </w:rPr>
        <w:t>Prevalence surveys</w:t>
      </w:r>
    </w:p>
    <w:p w:rsidR="00D50046" w:rsidRPr="008548F1" w:rsidRDefault="00D50046" w:rsidP="00D50046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Candara" w:hAnsi="Candara" w:cs="Arial"/>
          <w:b/>
          <w:sz w:val="20"/>
          <w:szCs w:val="20"/>
          <w:lang w:val="en-GB"/>
        </w:rPr>
      </w:pPr>
      <w:r>
        <w:rPr>
          <w:rFonts w:ascii="Candara" w:hAnsi="Candara" w:cs="Arial"/>
          <w:sz w:val="20"/>
          <w:szCs w:val="20"/>
          <w:lang w:val="en-GB"/>
        </w:rPr>
        <w:t>Research study looking at tea-growing communities in Assam, India in 2004. Found that t</w:t>
      </w:r>
      <w:r w:rsidRPr="008548F1">
        <w:rPr>
          <w:rFonts w:ascii="Candara" w:hAnsi="Candara" w:cs="Arial"/>
          <w:sz w:val="20"/>
          <w:szCs w:val="20"/>
          <w:lang w:val="en-GB"/>
        </w:rPr>
        <w:t>he overal</w:t>
      </w:r>
      <w:r>
        <w:rPr>
          <w:rFonts w:ascii="Candara" w:hAnsi="Candara" w:cs="Arial"/>
          <w:sz w:val="20"/>
          <w:szCs w:val="20"/>
          <w:lang w:val="en-GB"/>
        </w:rPr>
        <w:t xml:space="preserve">l prevalence of </w:t>
      </w:r>
      <w:proofErr w:type="spellStart"/>
      <w:r>
        <w:rPr>
          <w:rFonts w:ascii="Candara" w:hAnsi="Candara" w:cs="Arial"/>
          <w:sz w:val="20"/>
          <w:szCs w:val="20"/>
          <w:lang w:val="en-GB"/>
        </w:rPr>
        <w:t>Ascaris</w:t>
      </w:r>
      <w:proofErr w:type="spellEnd"/>
      <w:r>
        <w:rPr>
          <w:rFonts w:ascii="Candara" w:hAnsi="Candara" w:cs="Arial"/>
          <w:sz w:val="20"/>
          <w:szCs w:val="20"/>
          <w:lang w:val="en-GB"/>
        </w:rPr>
        <w:t xml:space="preserve"> was 38%, </w:t>
      </w:r>
      <w:r w:rsidRPr="008548F1">
        <w:rPr>
          <w:rFonts w:ascii="Candara" w:hAnsi="Candara" w:cs="Arial"/>
          <w:sz w:val="20"/>
          <w:szCs w:val="20"/>
          <w:lang w:val="en-GB"/>
        </w:rPr>
        <w:t>and</w:t>
      </w:r>
      <w:r>
        <w:rPr>
          <w:rFonts w:ascii="Candara" w:hAnsi="Candara" w:cs="Arial"/>
          <w:sz w:val="20"/>
          <w:szCs w:val="20"/>
          <w:lang w:val="en-GB"/>
        </w:rPr>
        <w:t xml:space="preserve"> </w:t>
      </w:r>
      <w:r w:rsidRPr="008548F1">
        <w:rPr>
          <w:rFonts w:ascii="Candara" w:hAnsi="Candara" w:cs="Arial"/>
          <w:sz w:val="20"/>
          <w:szCs w:val="20"/>
          <w:lang w:val="en-GB"/>
        </w:rPr>
        <w:t xml:space="preserve">the individual prevalence of hookworm and </w:t>
      </w:r>
      <w:proofErr w:type="spellStart"/>
      <w:r w:rsidRPr="008548F1">
        <w:rPr>
          <w:rFonts w:ascii="Candara" w:hAnsi="Candara" w:cs="Arial"/>
          <w:sz w:val="20"/>
          <w:szCs w:val="20"/>
          <w:lang w:val="en-GB"/>
        </w:rPr>
        <w:t>Trichuris</w:t>
      </w:r>
      <w:proofErr w:type="spellEnd"/>
      <w:r w:rsidRPr="008548F1">
        <w:rPr>
          <w:rFonts w:ascii="Candara" w:hAnsi="Candara" w:cs="Arial"/>
          <w:sz w:val="20"/>
          <w:szCs w:val="20"/>
          <w:lang w:val="en-GB"/>
        </w:rPr>
        <w:t xml:space="preserve"> was 43%.</w:t>
      </w:r>
      <w:r>
        <w:rPr>
          <w:rStyle w:val="FootnoteReference"/>
          <w:rFonts w:ascii="Candara" w:hAnsi="Candara" w:cs="Arial"/>
          <w:sz w:val="20"/>
          <w:szCs w:val="20"/>
          <w:lang w:val="en-GB"/>
        </w:rPr>
        <w:footnoteReference w:id="-1"/>
      </w:r>
    </w:p>
    <w:p w:rsidR="00D50046" w:rsidRDefault="00D50046" w:rsidP="00D50046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Candara" w:hAnsi="Candara" w:cs="Arial"/>
          <w:sz w:val="20"/>
          <w:szCs w:val="20"/>
          <w:lang w:val="en-GB"/>
        </w:rPr>
      </w:pPr>
      <w:r w:rsidRPr="008548F1">
        <w:rPr>
          <w:rFonts w:ascii="Candara" w:hAnsi="Candara" w:cs="Arial"/>
          <w:sz w:val="20"/>
          <w:szCs w:val="20"/>
          <w:lang w:val="en-GB"/>
        </w:rPr>
        <w:t xml:space="preserve">A 1996 study in a rural population of Upper Assam found that out of 764 stool samples examined 312 (41 percent) were found to be positive for one or more intestinal parasites. </w:t>
      </w:r>
      <w:proofErr w:type="spellStart"/>
      <w:r w:rsidRPr="008548F1">
        <w:rPr>
          <w:rFonts w:ascii="Candara" w:hAnsi="Candara" w:cs="Arial"/>
          <w:sz w:val="20"/>
          <w:szCs w:val="20"/>
          <w:lang w:val="en-GB"/>
        </w:rPr>
        <w:t>Ascaris</w:t>
      </w:r>
      <w:proofErr w:type="spellEnd"/>
      <w:r w:rsidRPr="008548F1">
        <w:rPr>
          <w:rFonts w:ascii="Candara" w:hAnsi="Candara" w:cs="Arial"/>
          <w:sz w:val="20"/>
          <w:szCs w:val="20"/>
          <w:lang w:val="en-GB"/>
        </w:rPr>
        <w:t xml:space="preserve"> </w:t>
      </w:r>
      <w:proofErr w:type="spellStart"/>
      <w:r w:rsidRPr="008548F1">
        <w:rPr>
          <w:rFonts w:ascii="Candara" w:hAnsi="Candara" w:cs="Arial"/>
          <w:sz w:val="20"/>
          <w:szCs w:val="20"/>
          <w:lang w:val="en-GB"/>
        </w:rPr>
        <w:t>lumbricoides</w:t>
      </w:r>
      <w:proofErr w:type="spellEnd"/>
      <w:r w:rsidRPr="008548F1">
        <w:rPr>
          <w:rFonts w:ascii="Candara" w:hAnsi="Candara" w:cs="Arial"/>
          <w:sz w:val="20"/>
          <w:szCs w:val="20"/>
          <w:lang w:val="en-GB"/>
        </w:rPr>
        <w:t xml:space="preserve"> was the most common </w:t>
      </w:r>
      <w:proofErr w:type="spellStart"/>
      <w:r w:rsidRPr="008548F1">
        <w:rPr>
          <w:rFonts w:ascii="Candara" w:hAnsi="Candara" w:cs="Arial"/>
          <w:sz w:val="20"/>
          <w:szCs w:val="20"/>
          <w:lang w:val="en-GB"/>
        </w:rPr>
        <w:t>helminth</w:t>
      </w:r>
      <w:proofErr w:type="spellEnd"/>
      <w:r w:rsidRPr="008548F1">
        <w:rPr>
          <w:rFonts w:ascii="Candara" w:hAnsi="Candara" w:cs="Arial"/>
          <w:sz w:val="20"/>
          <w:szCs w:val="20"/>
          <w:lang w:val="en-GB"/>
        </w:rPr>
        <w:t>.</w:t>
      </w:r>
      <w:r>
        <w:rPr>
          <w:rStyle w:val="FootnoteReference"/>
          <w:rFonts w:ascii="Candara" w:hAnsi="Candara" w:cs="Arial"/>
          <w:sz w:val="20"/>
          <w:szCs w:val="20"/>
          <w:lang w:val="en-GB"/>
        </w:rPr>
        <w:footnoteReference w:id="0"/>
      </w:r>
      <w:r w:rsidRPr="008548F1">
        <w:rPr>
          <w:rFonts w:ascii="Candara" w:hAnsi="Candara" w:cs="Arial"/>
          <w:sz w:val="20"/>
          <w:szCs w:val="20"/>
          <w:lang w:val="en-GB"/>
        </w:rPr>
        <w:t xml:space="preserve"> </w:t>
      </w:r>
    </w:p>
    <w:p w:rsidR="00D50046" w:rsidRDefault="00D50046" w:rsidP="00D50046">
      <w:pPr>
        <w:pStyle w:val="ListParagraph"/>
        <w:numPr>
          <w:ilvl w:val="0"/>
          <w:numId w:val="1"/>
        </w:numPr>
        <w:spacing w:after="120" w:line="276" w:lineRule="auto"/>
        <w:rPr>
          <w:rFonts w:ascii="Candara" w:hAnsi="Candara" w:cs="Arial"/>
          <w:sz w:val="20"/>
          <w:szCs w:val="20"/>
          <w:lang w:val="en-GB"/>
        </w:rPr>
      </w:pPr>
      <w:r w:rsidRPr="006F472A">
        <w:rPr>
          <w:rFonts w:ascii="Candara" w:hAnsi="Candara" w:cs="Arial"/>
          <w:sz w:val="20"/>
          <w:szCs w:val="20"/>
          <w:lang w:val="en-GB"/>
        </w:rPr>
        <w:t>A 2004 study look</w:t>
      </w:r>
      <w:r>
        <w:rPr>
          <w:rFonts w:ascii="Candara" w:hAnsi="Candara" w:cs="Arial"/>
          <w:sz w:val="20"/>
          <w:szCs w:val="20"/>
          <w:lang w:val="en-GB"/>
        </w:rPr>
        <w:t>ed</w:t>
      </w:r>
      <w:r w:rsidRPr="006F472A">
        <w:rPr>
          <w:rFonts w:ascii="Candara" w:hAnsi="Candara" w:cs="Arial"/>
          <w:sz w:val="20"/>
          <w:szCs w:val="20"/>
          <w:lang w:val="en-GB"/>
        </w:rPr>
        <w:t xml:space="preserve"> at communities in the tropical rainforest of Assam to analyse the effect of treatment with a single dose of </w:t>
      </w:r>
      <w:proofErr w:type="spellStart"/>
      <w:r w:rsidRPr="006F472A">
        <w:rPr>
          <w:rFonts w:ascii="Candara" w:hAnsi="Candara" w:cs="Arial"/>
          <w:sz w:val="20"/>
          <w:szCs w:val="20"/>
          <w:lang w:val="en-GB"/>
        </w:rPr>
        <w:t>albendazole</w:t>
      </w:r>
      <w:proofErr w:type="spellEnd"/>
      <w:r w:rsidRPr="006F472A">
        <w:rPr>
          <w:rFonts w:ascii="Candara" w:hAnsi="Candara" w:cs="Arial"/>
          <w:sz w:val="20"/>
          <w:szCs w:val="20"/>
          <w:lang w:val="en-GB"/>
        </w:rPr>
        <w:t xml:space="preserve"> 400mg on </w:t>
      </w:r>
      <w:proofErr w:type="spellStart"/>
      <w:r w:rsidRPr="006F472A">
        <w:rPr>
          <w:rFonts w:ascii="Candara" w:hAnsi="Candara" w:cs="Arial"/>
          <w:sz w:val="20"/>
          <w:szCs w:val="20"/>
          <w:lang w:val="en-GB"/>
        </w:rPr>
        <w:t>reinfection</w:t>
      </w:r>
      <w:proofErr w:type="spellEnd"/>
      <w:r w:rsidRPr="006F472A">
        <w:rPr>
          <w:rFonts w:ascii="Candara" w:hAnsi="Candara" w:cs="Arial"/>
          <w:sz w:val="20"/>
          <w:szCs w:val="20"/>
          <w:lang w:val="en-GB"/>
        </w:rPr>
        <w:t xml:space="preserve"> rates. The cure rates for </w:t>
      </w:r>
      <w:proofErr w:type="spellStart"/>
      <w:r w:rsidRPr="006F472A">
        <w:rPr>
          <w:rFonts w:ascii="Candara" w:hAnsi="Candara" w:cs="Arial"/>
          <w:sz w:val="20"/>
          <w:szCs w:val="20"/>
          <w:lang w:val="en-GB"/>
        </w:rPr>
        <w:t>Ascaris</w:t>
      </w:r>
      <w:proofErr w:type="spellEnd"/>
      <w:r w:rsidRPr="006F472A">
        <w:rPr>
          <w:rFonts w:ascii="Candara" w:hAnsi="Candara" w:cs="Arial"/>
          <w:sz w:val="20"/>
          <w:szCs w:val="20"/>
          <w:lang w:val="en-GB"/>
        </w:rPr>
        <w:t xml:space="preserve">, </w:t>
      </w:r>
      <w:proofErr w:type="spellStart"/>
      <w:r w:rsidRPr="006F472A">
        <w:rPr>
          <w:rFonts w:ascii="Candara" w:hAnsi="Candara" w:cs="Arial"/>
          <w:sz w:val="20"/>
          <w:szCs w:val="20"/>
          <w:lang w:val="en-GB"/>
        </w:rPr>
        <w:t>Trichuris</w:t>
      </w:r>
      <w:proofErr w:type="spellEnd"/>
      <w:r w:rsidRPr="006F472A">
        <w:rPr>
          <w:rFonts w:ascii="Candara" w:hAnsi="Candara" w:cs="Arial"/>
          <w:sz w:val="20"/>
          <w:szCs w:val="20"/>
          <w:lang w:val="en-GB"/>
        </w:rPr>
        <w:t>, and hookworms were 70.8%,</w:t>
      </w:r>
      <w:r>
        <w:rPr>
          <w:rFonts w:ascii="Candara" w:hAnsi="Candara" w:cs="Arial"/>
          <w:sz w:val="20"/>
          <w:szCs w:val="20"/>
          <w:lang w:val="en-GB"/>
        </w:rPr>
        <w:t xml:space="preserve"> 68.7% and 93.0%, respectively. </w:t>
      </w:r>
      <w:r w:rsidRPr="006F472A">
        <w:rPr>
          <w:rFonts w:ascii="Candara" w:hAnsi="Candara" w:cs="Arial"/>
          <w:sz w:val="20"/>
          <w:szCs w:val="20"/>
          <w:lang w:val="en-GB"/>
        </w:rPr>
        <w:t xml:space="preserve">Re-infection rates after 3 months of successful treatment were 19.6% for </w:t>
      </w:r>
      <w:proofErr w:type="spellStart"/>
      <w:r w:rsidRPr="006F472A">
        <w:rPr>
          <w:rFonts w:ascii="Candara" w:hAnsi="Candara" w:cs="Arial"/>
          <w:sz w:val="20"/>
          <w:szCs w:val="20"/>
          <w:lang w:val="en-GB"/>
        </w:rPr>
        <w:t>A</w:t>
      </w:r>
      <w:r>
        <w:rPr>
          <w:rFonts w:ascii="Candara" w:hAnsi="Candara" w:cs="Arial"/>
          <w:sz w:val="20"/>
          <w:szCs w:val="20"/>
          <w:lang w:val="en-GB"/>
        </w:rPr>
        <w:t>scaris</w:t>
      </w:r>
      <w:proofErr w:type="spellEnd"/>
      <w:r w:rsidRPr="006F472A">
        <w:rPr>
          <w:rFonts w:ascii="Candara" w:hAnsi="Candara" w:cs="Arial"/>
          <w:sz w:val="20"/>
          <w:szCs w:val="20"/>
          <w:lang w:val="en-GB"/>
        </w:rPr>
        <w:t>, 30.9% for</w:t>
      </w:r>
      <w:r>
        <w:rPr>
          <w:rFonts w:ascii="Candara" w:hAnsi="Candara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Candara" w:hAnsi="Candara" w:cs="Arial"/>
          <w:sz w:val="20"/>
          <w:szCs w:val="20"/>
          <w:lang w:val="en-GB"/>
        </w:rPr>
        <w:t>Trichuris</w:t>
      </w:r>
      <w:proofErr w:type="spellEnd"/>
      <w:r>
        <w:rPr>
          <w:rFonts w:ascii="Candara" w:hAnsi="Candara" w:cs="Arial"/>
          <w:sz w:val="20"/>
          <w:szCs w:val="20"/>
          <w:lang w:val="en-GB"/>
        </w:rPr>
        <w:t xml:space="preserve">, </w:t>
      </w:r>
      <w:r w:rsidRPr="006F472A">
        <w:rPr>
          <w:rFonts w:ascii="Candara" w:hAnsi="Candara" w:cs="Arial"/>
          <w:sz w:val="20"/>
          <w:szCs w:val="20"/>
          <w:lang w:val="en-GB"/>
        </w:rPr>
        <w:t>and 11.3% for hookworms. Six months post- treatment, the prevalence of re-infection</w:t>
      </w:r>
      <w:r>
        <w:rPr>
          <w:rFonts w:ascii="Candara" w:hAnsi="Candara" w:cs="Arial"/>
          <w:sz w:val="20"/>
          <w:szCs w:val="20"/>
          <w:lang w:val="en-GB"/>
        </w:rPr>
        <w:t xml:space="preserve"> </w:t>
      </w:r>
      <w:r w:rsidRPr="006F472A">
        <w:rPr>
          <w:rFonts w:ascii="Candara" w:hAnsi="Candara" w:cs="Arial"/>
          <w:sz w:val="20"/>
          <w:szCs w:val="20"/>
          <w:lang w:val="en-GB"/>
        </w:rPr>
        <w:t xml:space="preserve">was highest with T. </w:t>
      </w:r>
      <w:proofErr w:type="spellStart"/>
      <w:r w:rsidRPr="006F472A">
        <w:rPr>
          <w:rFonts w:ascii="Candara" w:hAnsi="Candara" w:cs="Arial"/>
          <w:sz w:val="20"/>
          <w:szCs w:val="20"/>
          <w:lang w:val="en-GB"/>
        </w:rPr>
        <w:t>trichiura</w:t>
      </w:r>
      <w:proofErr w:type="spellEnd"/>
      <w:r w:rsidRPr="006F472A">
        <w:rPr>
          <w:rFonts w:ascii="Candara" w:hAnsi="Candara" w:cs="Arial"/>
          <w:sz w:val="20"/>
          <w:szCs w:val="20"/>
          <w:lang w:val="en-GB"/>
        </w:rPr>
        <w:t xml:space="preserve"> (43.6%); followed by A. </w:t>
      </w:r>
      <w:proofErr w:type="spellStart"/>
      <w:r w:rsidRPr="006F472A">
        <w:rPr>
          <w:rFonts w:ascii="Candara" w:hAnsi="Candara" w:cs="Arial"/>
          <w:sz w:val="20"/>
          <w:szCs w:val="20"/>
          <w:lang w:val="en-GB"/>
        </w:rPr>
        <w:t>lumbricoides</w:t>
      </w:r>
      <w:proofErr w:type="spellEnd"/>
      <w:r w:rsidRPr="006F472A">
        <w:rPr>
          <w:rFonts w:ascii="Candara" w:hAnsi="Candara" w:cs="Arial"/>
          <w:sz w:val="20"/>
          <w:szCs w:val="20"/>
          <w:lang w:val="en-GB"/>
        </w:rPr>
        <w:t xml:space="preserve"> (35.3%). The rate of </w:t>
      </w:r>
      <w:proofErr w:type="spellStart"/>
      <w:r w:rsidRPr="006F472A">
        <w:rPr>
          <w:rFonts w:ascii="Candara" w:hAnsi="Candara" w:cs="Arial"/>
          <w:sz w:val="20"/>
          <w:szCs w:val="20"/>
          <w:lang w:val="en-GB"/>
        </w:rPr>
        <w:t>reinfection</w:t>
      </w:r>
      <w:proofErr w:type="spellEnd"/>
      <w:r>
        <w:rPr>
          <w:rFonts w:ascii="Candara" w:hAnsi="Candara" w:cs="Arial"/>
          <w:sz w:val="20"/>
          <w:szCs w:val="20"/>
          <w:lang w:val="en-GB"/>
        </w:rPr>
        <w:t xml:space="preserve"> </w:t>
      </w:r>
      <w:r w:rsidRPr="006F472A">
        <w:rPr>
          <w:rFonts w:ascii="Candara" w:hAnsi="Candara" w:cs="Arial"/>
          <w:sz w:val="20"/>
          <w:szCs w:val="20"/>
          <w:lang w:val="en-GB"/>
        </w:rPr>
        <w:t>with hookworms was lower (11.3%) six months post-treatment.</w:t>
      </w:r>
      <w:r>
        <w:rPr>
          <w:rStyle w:val="FootnoteReference"/>
          <w:rFonts w:ascii="Candara" w:hAnsi="Candara" w:cs="Arial"/>
          <w:sz w:val="20"/>
          <w:szCs w:val="20"/>
          <w:lang w:val="en-GB"/>
        </w:rPr>
        <w:footnoteReference w:id="1"/>
      </w:r>
      <w:r w:rsidRPr="006F472A">
        <w:rPr>
          <w:rFonts w:ascii="Candara" w:hAnsi="Candara" w:cs="Arial"/>
          <w:sz w:val="20"/>
          <w:szCs w:val="20"/>
          <w:lang w:val="en-GB"/>
        </w:rPr>
        <w:t xml:space="preserve"> </w:t>
      </w:r>
    </w:p>
    <w:p w:rsidR="00D50046" w:rsidRDefault="00D50046" w:rsidP="00D50046">
      <w:pPr>
        <w:pStyle w:val="ListParagraph"/>
        <w:numPr>
          <w:ilvl w:val="0"/>
          <w:numId w:val="1"/>
        </w:numPr>
        <w:spacing w:after="120" w:line="276" w:lineRule="auto"/>
        <w:rPr>
          <w:rFonts w:ascii="Candara" w:hAnsi="Candara" w:cs="Arial"/>
          <w:sz w:val="20"/>
          <w:szCs w:val="20"/>
          <w:lang w:val="en-GB"/>
        </w:rPr>
      </w:pPr>
      <w:r>
        <w:rPr>
          <w:rFonts w:ascii="Candara" w:hAnsi="Candara" w:cs="Arial"/>
          <w:sz w:val="20"/>
          <w:szCs w:val="20"/>
          <w:lang w:val="en-GB"/>
        </w:rPr>
        <w:t xml:space="preserve">A 2003 study from an urban locality in Assam found </w:t>
      </w:r>
      <w:r w:rsidRPr="006F472A">
        <w:rPr>
          <w:rFonts w:ascii="Candara" w:hAnsi="Candara" w:cs="Arial"/>
          <w:sz w:val="20"/>
          <w:szCs w:val="20"/>
          <w:lang w:val="en-GB"/>
        </w:rPr>
        <w:t xml:space="preserve">the STH prevalence and intensity in the </w:t>
      </w:r>
      <w:proofErr w:type="gramStart"/>
      <w:r w:rsidRPr="006F472A">
        <w:rPr>
          <w:rFonts w:ascii="Candara" w:hAnsi="Candara" w:cs="Arial"/>
          <w:sz w:val="20"/>
          <w:szCs w:val="20"/>
          <w:lang w:val="en-GB"/>
        </w:rPr>
        <w:t>age-group</w:t>
      </w:r>
      <w:proofErr w:type="gramEnd"/>
      <w:r w:rsidRPr="006F472A">
        <w:rPr>
          <w:rFonts w:ascii="Candara" w:hAnsi="Candara" w:cs="Arial"/>
          <w:sz w:val="20"/>
          <w:szCs w:val="20"/>
          <w:lang w:val="en-GB"/>
        </w:rPr>
        <w:t xml:space="preserve"> of 9-10 years do represent community burden. However, more such surveys will have to be carried out to substantiate this statement.</w:t>
      </w:r>
    </w:p>
    <w:p w:rsidR="00D50046" w:rsidRPr="006F472A" w:rsidRDefault="00D50046" w:rsidP="00D50046">
      <w:pPr>
        <w:pStyle w:val="ListParagraph"/>
        <w:numPr>
          <w:ilvl w:val="0"/>
          <w:numId w:val="1"/>
        </w:numPr>
        <w:spacing w:after="120" w:line="276" w:lineRule="auto"/>
        <w:rPr>
          <w:rFonts w:ascii="Candara" w:hAnsi="Candara" w:cs="Arial"/>
          <w:sz w:val="20"/>
          <w:szCs w:val="20"/>
          <w:lang w:val="en-GB"/>
        </w:rPr>
      </w:pPr>
      <w:r>
        <w:rPr>
          <w:rFonts w:ascii="Candara" w:hAnsi="Candara" w:cs="Arial"/>
          <w:sz w:val="20"/>
          <w:szCs w:val="20"/>
          <w:lang w:val="en-GB"/>
        </w:rPr>
        <w:t xml:space="preserve">A 2012 study looked at anaemia in adolescent girl students in Assam. It revealed that </w:t>
      </w:r>
      <w:proofErr w:type="spellStart"/>
      <w:r w:rsidRPr="006F472A">
        <w:rPr>
          <w:rFonts w:ascii="Candara" w:hAnsi="Candara" w:cs="Arial"/>
          <w:sz w:val="20"/>
          <w:szCs w:val="20"/>
          <w:lang w:val="en-GB"/>
        </w:rPr>
        <w:t>Ascaris</w:t>
      </w:r>
      <w:proofErr w:type="spellEnd"/>
      <w:r w:rsidRPr="006F472A">
        <w:rPr>
          <w:rFonts w:ascii="Candara" w:hAnsi="Candara" w:cs="Arial"/>
          <w:sz w:val="20"/>
          <w:szCs w:val="20"/>
          <w:lang w:val="en-GB"/>
        </w:rPr>
        <w:t xml:space="preserve"> </w:t>
      </w:r>
      <w:proofErr w:type="spellStart"/>
      <w:r w:rsidRPr="006F472A">
        <w:rPr>
          <w:rFonts w:ascii="Candara" w:hAnsi="Candara" w:cs="Arial"/>
          <w:sz w:val="20"/>
          <w:szCs w:val="20"/>
          <w:lang w:val="en-GB"/>
        </w:rPr>
        <w:t>lumbricoides</w:t>
      </w:r>
      <w:proofErr w:type="spellEnd"/>
      <w:r w:rsidRPr="006F472A">
        <w:rPr>
          <w:rFonts w:ascii="Candara" w:hAnsi="Candara" w:cs="Arial"/>
          <w:sz w:val="20"/>
          <w:szCs w:val="20"/>
          <w:lang w:val="en-GB"/>
        </w:rPr>
        <w:t xml:space="preserve"> was the most frequent infection (10.6%), followed by </w:t>
      </w:r>
      <w:proofErr w:type="spellStart"/>
      <w:r w:rsidRPr="006F472A">
        <w:rPr>
          <w:rFonts w:ascii="Candara" w:hAnsi="Candara" w:cs="Arial"/>
          <w:sz w:val="20"/>
          <w:szCs w:val="20"/>
          <w:lang w:val="en-GB"/>
        </w:rPr>
        <w:t>Trichuris</w:t>
      </w:r>
      <w:proofErr w:type="spellEnd"/>
      <w:r w:rsidRPr="006F472A">
        <w:rPr>
          <w:rFonts w:ascii="Candara" w:hAnsi="Candara" w:cs="Arial"/>
          <w:sz w:val="20"/>
          <w:szCs w:val="20"/>
          <w:lang w:val="en-GB"/>
        </w:rPr>
        <w:t xml:space="preserve"> </w:t>
      </w:r>
      <w:proofErr w:type="spellStart"/>
      <w:r w:rsidRPr="006F472A">
        <w:rPr>
          <w:rFonts w:ascii="Candara" w:hAnsi="Candara" w:cs="Arial"/>
          <w:sz w:val="20"/>
          <w:szCs w:val="20"/>
          <w:lang w:val="en-GB"/>
        </w:rPr>
        <w:t>trichiura</w:t>
      </w:r>
      <w:proofErr w:type="spellEnd"/>
      <w:r w:rsidRPr="006F472A">
        <w:rPr>
          <w:rFonts w:ascii="Candara" w:hAnsi="Candara" w:cs="Arial"/>
          <w:sz w:val="20"/>
          <w:szCs w:val="20"/>
          <w:lang w:val="en-GB"/>
        </w:rPr>
        <w:t xml:space="preserve"> (6.2%), and hookworm infestations (3.9%). </w:t>
      </w:r>
      <w:proofErr w:type="spellStart"/>
      <w:r w:rsidRPr="006F472A">
        <w:rPr>
          <w:rFonts w:ascii="Candara" w:hAnsi="Candara" w:cs="Arial"/>
          <w:sz w:val="20"/>
          <w:szCs w:val="20"/>
          <w:lang w:val="en-GB"/>
        </w:rPr>
        <w:t>Polyparasitic</w:t>
      </w:r>
      <w:proofErr w:type="spellEnd"/>
      <w:r w:rsidRPr="006F472A">
        <w:rPr>
          <w:rFonts w:ascii="Candara" w:hAnsi="Candara" w:cs="Arial"/>
          <w:sz w:val="20"/>
          <w:szCs w:val="20"/>
          <w:lang w:val="en-GB"/>
        </w:rPr>
        <w:t xml:space="preserve"> infection (A. </w:t>
      </w:r>
      <w:proofErr w:type="spellStart"/>
      <w:r w:rsidRPr="006F472A">
        <w:rPr>
          <w:rFonts w:ascii="Candara" w:hAnsi="Candara" w:cs="Arial"/>
          <w:sz w:val="20"/>
          <w:szCs w:val="20"/>
          <w:lang w:val="en-GB"/>
        </w:rPr>
        <w:t>lumbricoides</w:t>
      </w:r>
      <w:proofErr w:type="spellEnd"/>
      <w:r w:rsidRPr="006F472A">
        <w:rPr>
          <w:rFonts w:ascii="Candara" w:hAnsi="Candara" w:cs="Arial"/>
          <w:sz w:val="20"/>
          <w:szCs w:val="20"/>
          <w:lang w:val="en-GB"/>
        </w:rPr>
        <w:t xml:space="preserve">, T. </w:t>
      </w:r>
      <w:proofErr w:type="spellStart"/>
      <w:r w:rsidRPr="006F472A">
        <w:rPr>
          <w:rFonts w:ascii="Candara" w:hAnsi="Candara" w:cs="Arial"/>
          <w:sz w:val="20"/>
          <w:szCs w:val="20"/>
          <w:lang w:val="en-GB"/>
        </w:rPr>
        <w:t>trichiura</w:t>
      </w:r>
      <w:proofErr w:type="spellEnd"/>
      <w:r w:rsidRPr="006F472A">
        <w:rPr>
          <w:rFonts w:ascii="Candara" w:hAnsi="Candara" w:cs="Arial"/>
          <w:sz w:val="20"/>
          <w:szCs w:val="20"/>
          <w:lang w:val="en-GB"/>
        </w:rPr>
        <w:t xml:space="preserve"> and hookworm) was observed in 0.5% of the study subjects. While </w:t>
      </w:r>
      <w:proofErr w:type="spellStart"/>
      <w:r w:rsidRPr="006F472A">
        <w:rPr>
          <w:rFonts w:ascii="Candara" w:hAnsi="Candara" w:cs="Arial"/>
          <w:sz w:val="20"/>
          <w:szCs w:val="20"/>
          <w:lang w:val="en-GB"/>
        </w:rPr>
        <w:t>coinfection</w:t>
      </w:r>
      <w:proofErr w:type="spellEnd"/>
      <w:r w:rsidRPr="006F472A">
        <w:rPr>
          <w:rFonts w:ascii="Candara" w:hAnsi="Candara" w:cs="Arial"/>
          <w:sz w:val="20"/>
          <w:szCs w:val="20"/>
          <w:lang w:val="en-GB"/>
        </w:rPr>
        <w:t xml:space="preserve"> due to A. </w:t>
      </w:r>
      <w:proofErr w:type="spellStart"/>
      <w:r w:rsidRPr="006F472A">
        <w:rPr>
          <w:rFonts w:ascii="Candara" w:hAnsi="Candara" w:cs="Arial"/>
          <w:sz w:val="20"/>
          <w:szCs w:val="20"/>
          <w:lang w:val="en-GB"/>
        </w:rPr>
        <w:t>lumbricoides</w:t>
      </w:r>
      <w:proofErr w:type="spellEnd"/>
      <w:r w:rsidRPr="006F472A">
        <w:rPr>
          <w:rFonts w:ascii="Candara" w:hAnsi="Candara" w:cs="Arial"/>
          <w:sz w:val="20"/>
          <w:szCs w:val="20"/>
          <w:lang w:val="en-GB"/>
        </w:rPr>
        <w:t xml:space="preserve"> and T. </w:t>
      </w:r>
      <w:proofErr w:type="spellStart"/>
      <w:r w:rsidRPr="006F472A">
        <w:rPr>
          <w:rFonts w:ascii="Candara" w:hAnsi="Candara" w:cs="Arial"/>
          <w:sz w:val="20"/>
          <w:szCs w:val="20"/>
          <w:lang w:val="en-GB"/>
        </w:rPr>
        <w:t>trichiura</w:t>
      </w:r>
      <w:proofErr w:type="spellEnd"/>
      <w:r>
        <w:rPr>
          <w:rFonts w:ascii="Candara" w:hAnsi="Candara" w:cs="Arial"/>
          <w:sz w:val="20"/>
          <w:szCs w:val="20"/>
          <w:lang w:val="en-GB"/>
        </w:rPr>
        <w:t xml:space="preserve"> </w:t>
      </w:r>
      <w:r w:rsidRPr="006F472A">
        <w:rPr>
          <w:rFonts w:ascii="Candara" w:hAnsi="Candara" w:cs="Arial"/>
          <w:sz w:val="20"/>
          <w:szCs w:val="20"/>
          <w:lang w:val="en-GB"/>
        </w:rPr>
        <w:t xml:space="preserve">was 2.3%, A. </w:t>
      </w:r>
      <w:proofErr w:type="spellStart"/>
      <w:r w:rsidRPr="006F472A">
        <w:rPr>
          <w:rFonts w:ascii="Candara" w:hAnsi="Candara" w:cs="Arial"/>
          <w:sz w:val="20"/>
          <w:szCs w:val="20"/>
          <w:lang w:val="en-GB"/>
        </w:rPr>
        <w:t>lumbricoides</w:t>
      </w:r>
      <w:proofErr w:type="spellEnd"/>
      <w:r w:rsidRPr="006F472A">
        <w:rPr>
          <w:rFonts w:ascii="Candara" w:hAnsi="Candara" w:cs="Arial"/>
          <w:sz w:val="20"/>
          <w:szCs w:val="20"/>
          <w:lang w:val="en-GB"/>
        </w:rPr>
        <w:t xml:space="preserve"> and hookworm was 1.1% and T. </w:t>
      </w:r>
      <w:proofErr w:type="spellStart"/>
      <w:r w:rsidRPr="006F472A">
        <w:rPr>
          <w:rFonts w:ascii="Candara" w:hAnsi="Candara" w:cs="Arial"/>
          <w:sz w:val="20"/>
          <w:szCs w:val="20"/>
          <w:lang w:val="en-GB"/>
        </w:rPr>
        <w:t>trichiura</w:t>
      </w:r>
      <w:proofErr w:type="spellEnd"/>
      <w:r w:rsidRPr="006F472A">
        <w:rPr>
          <w:rFonts w:ascii="Candara" w:hAnsi="Candara" w:cs="Arial"/>
          <w:sz w:val="20"/>
          <w:szCs w:val="20"/>
          <w:lang w:val="en-GB"/>
        </w:rPr>
        <w:t xml:space="preserve"> and hookworm was 0.9%.</w:t>
      </w:r>
      <w:r w:rsidRPr="00AA3CE7">
        <w:rPr>
          <w:rStyle w:val="FootnoteReference"/>
          <w:rFonts w:ascii="Gill Sans MT" w:hAnsi="Gill Sans MT"/>
          <w:sz w:val="20"/>
          <w:szCs w:val="20"/>
          <w:lang w:val="en-GB"/>
        </w:rPr>
        <w:footnoteReference w:id="2"/>
      </w:r>
    </w:p>
    <w:p w:rsidR="00D50046" w:rsidRDefault="00D50046" w:rsidP="00D50046">
      <w:pPr>
        <w:spacing w:after="120" w:line="276" w:lineRule="auto"/>
        <w:rPr>
          <w:rFonts w:ascii="Gill Sans MT" w:hAnsi="Gill Sans MT"/>
          <w:sz w:val="20"/>
          <w:szCs w:val="20"/>
          <w:lang w:val="en-GB"/>
        </w:rPr>
      </w:pPr>
    </w:p>
    <w:p w:rsidR="00313F56" w:rsidRDefault="00F1568E"/>
    <w:sectPr w:rsidR="00313F56" w:rsidSect="002B487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atha">
    <w:altName w:val="Arial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ndara">
    <w:panose1 w:val="020E05020303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-1">
    <w:p w:rsidR="00D50046" w:rsidRDefault="00D50046" w:rsidP="00D500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http://onlinelibrary.wiley.com/doi/10.1111/j.1365-3156.2004.01252.x/pdf</w:t>
        </w:r>
      </w:hyperlink>
    </w:p>
  </w:footnote>
  <w:footnote w:id="0">
    <w:p w:rsidR="00D50046" w:rsidRDefault="00D50046" w:rsidP="00D500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>
          <w:rPr>
            <w:rStyle w:val="Hyperlink"/>
          </w:rPr>
          <w:t>http://medind.nic.in/imvw/imvw13199.html</w:t>
        </w:r>
      </w:hyperlink>
    </w:p>
  </w:footnote>
  <w:footnote w:id="1">
    <w:p w:rsidR="00D50046" w:rsidRDefault="00D50046" w:rsidP="00D500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>
          <w:rPr>
            <w:rStyle w:val="Hyperlink"/>
          </w:rPr>
          <w:t>http://www.tm.mahidol.ac.th/seameo/2004_35_3/03-3256.pdf</w:t>
        </w:r>
      </w:hyperlink>
    </w:p>
  </w:footnote>
  <w:footnote w:id="2">
    <w:p w:rsidR="00D50046" w:rsidRDefault="00D50046" w:rsidP="00D500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>
          <w:rPr>
            <w:rStyle w:val="Hyperlink"/>
          </w:rPr>
          <w:t>http://www.searo.who.int/publications/journals/seajph/whoseajphv1i3p347.pdf</w:t>
        </w:r>
      </w:hyperlink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00E4"/>
    <w:multiLevelType w:val="hybridMultilevel"/>
    <w:tmpl w:val="8F24DBE2"/>
    <w:lvl w:ilvl="0" w:tplc="778A4DE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5B4760"/>
    <w:multiLevelType w:val="hybridMultilevel"/>
    <w:tmpl w:val="622210F0"/>
    <w:lvl w:ilvl="0" w:tplc="A8FA3074">
      <w:start w:val="2007"/>
      <w:numFmt w:val="bullet"/>
      <w:lvlText w:val="-"/>
      <w:lvlJc w:val="left"/>
      <w:pPr>
        <w:ind w:left="720" w:hanging="360"/>
      </w:pPr>
      <w:rPr>
        <w:rFonts w:ascii="Latha" w:eastAsiaTheme="minorHAnsi" w:hAnsi="Latha" w:cs="Lat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50046"/>
    <w:rsid w:val="00D50046"/>
    <w:rsid w:val="00F1568E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046"/>
    <w:pPr>
      <w:spacing w:after="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5004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5004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00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004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500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m.mahidol.ac.th/seameo/2004_35_3/03-3256.pdf" TargetMode="External"/><Relationship Id="rId4" Type="http://schemas.openxmlformats.org/officeDocument/2006/relationships/hyperlink" Target="http://www.searo.who.int/publications/journals/seajph/whoseajphv1i3p347.pdf" TargetMode="External"/><Relationship Id="rId1" Type="http://schemas.openxmlformats.org/officeDocument/2006/relationships/hyperlink" Target="http://onlinelibrary.wiley.com/doi/10.1111/j.1365-3156.2004.01252.x/pdf" TargetMode="External"/><Relationship Id="rId2" Type="http://schemas.openxmlformats.org/officeDocument/2006/relationships/hyperlink" Target="http://medind.nic.in/imvw/imvw131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436</Words>
  <Characters>2488</Characters>
  <Application>Microsoft Macintosh Word</Application>
  <DocSecurity>0</DocSecurity>
  <Lines>20</Lines>
  <Paragraphs>4</Paragraphs>
  <ScaleCrop>false</ScaleCrop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Sharad Barkataki</dc:creator>
  <cp:keywords/>
  <cp:lastModifiedBy>Sharad Barkataki</cp:lastModifiedBy>
  <cp:revision>2</cp:revision>
  <dcterms:created xsi:type="dcterms:W3CDTF">2013-10-10T17:20:00Z</dcterms:created>
  <dcterms:modified xsi:type="dcterms:W3CDTF">2013-10-10T17:24:00Z</dcterms:modified>
</cp:coreProperties>
</file>