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84F" w:rsidRDefault="0009284F" w:rsidP="00507E66">
      <w:pPr>
        <w:rPr>
          <w:rFonts w:ascii="Prensa Book" w:hAnsi="Prensa Book"/>
        </w:rPr>
      </w:pPr>
    </w:p>
    <w:p w:rsidR="0009284F" w:rsidRDefault="0009284F" w:rsidP="00507E66">
      <w:pPr>
        <w:rPr>
          <w:rFonts w:ascii="Prensa Book" w:hAnsi="Prensa Book"/>
        </w:rPr>
      </w:pPr>
    </w:p>
    <w:p w:rsidR="0009284F" w:rsidRDefault="0009284F" w:rsidP="00507E66">
      <w:pPr>
        <w:rPr>
          <w:rFonts w:ascii="Prensa Book" w:hAnsi="Prensa Book"/>
        </w:rPr>
      </w:pPr>
    </w:p>
    <w:p w:rsidR="0009284F" w:rsidRDefault="0009284F" w:rsidP="00507E66">
      <w:pPr>
        <w:rPr>
          <w:rFonts w:ascii="Prensa Book" w:hAnsi="Prensa Book"/>
        </w:rPr>
      </w:pPr>
    </w:p>
    <w:p w:rsidR="004806B9" w:rsidRDefault="00154934" w:rsidP="00507E66">
      <w:pPr>
        <w:rPr>
          <w:rFonts w:ascii="Prensa Book" w:hAnsi="Prensa Book"/>
        </w:rPr>
      </w:pPr>
      <w:r>
        <w:rPr>
          <w:rFonts w:ascii="Prensa Book" w:hAnsi="Prensa Book"/>
        </w:rPr>
        <w:t>August 15</w:t>
      </w:r>
      <w:r w:rsidR="0072049E" w:rsidRPr="0072049E">
        <w:rPr>
          <w:rFonts w:ascii="Prensa Book" w:hAnsi="Prensa Book"/>
        </w:rPr>
        <w:t xml:space="preserve">, 2013 </w:t>
      </w:r>
    </w:p>
    <w:p w:rsidR="004806B9" w:rsidRDefault="004806B9" w:rsidP="00507E66">
      <w:pPr>
        <w:rPr>
          <w:rFonts w:ascii="Prensa Book" w:hAnsi="Prensa Book"/>
        </w:rPr>
      </w:pPr>
    </w:p>
    <w:p w:rsidR="0072049E" w:rsidRPr="0072049E" w:rsidRDefault="0072049E" w:rsidP="00507E66">
      <w:pPr>
        <w:rPr>
          <w:rFonts w:ascii="Prensa Book" w:hAnsi="Prensa Book"/>
        </w:rPr>
      </w:pPr>
      <w:r w:rsidRPr="0072049E">
        <w:rPr>
          <w:rFonts w:ascii="Prensa Book" w:hAnsi="Prensa Book"/>
        </w:rPr>
        <w:t xml:space="preserve">Dear </w:t>
      </w:r>
      <w:r w:rsidR="00BC3321">
        <w:rPr>
          <w:rFonts w:ascii="Prensa Book" w:hAnsi="Prensa Book"/>
        </w:rPr>
        <w:t>Elie and Tim</w:t>
      </w:r>
      <w:r w:rsidRPr="0072049E">
        <w:rPr>
          <w:rFonts w:ascii="Prensa Book" w:hAnsi="Prensa Book"/>
        </w:rPr>
        <w:t>,</w:t>
      </w:r>
    </w:p>
    <w:p w:rsidR="0072049E" w:rsidRPr="0072049E" w:rsidRDefault="0072049E" w:rsidP="00507E66">
      <w:pPr>
        <w:rPr>
          <w:rFonts w:ascii="Prensa Book" w:hAnsi="Prensa Book"/>
        </w:rPr>
      </w:pPr>
    </w:p>
    <w:p w:rsidR="00BC3321" w:rsidRDefault="00BC3321" w:rsidP="0059668E">
      <w:pPr>
        <w:jc w:val="both"/>
        <w:rPr>
          <w:rFonts w:ascii="Prensa Book" w:hAnsi="Prensa Book"/>
        </w:rPr>
      </w:pPr>
      <w:r>
        <w:rPr>
          <w:rFonts w:ascii="Prensa Book" w:hAnsi="Prensa Book"/>
        </w:rPr>
        <w:t>Please find enclosed a submission fro</w:t>
      </w:r>
      <w:r w:rsidR="007C232D">
        <w:rPr>
          <w:rFonts w:ascii="Prensa Book" w:hAnsi="Prensa Book"/>
        </w:rPr>
        <w:t xml:space="preserve">m Evidence Action regarding </w:t>
      </w:r>
      <w:r>
        <w:rPr>
          <w:rFonts w:ascii="Prensa Book" w:hAnsi="Prensa Book"/>
        </w:rPr>
        <w:t>Deworm the World Initiative work in India.</w:t>
      </w:r>
    </w:p>
    <w:p w:rsidR="00BC3321" w:rsidRDefault="00BC3321" w:rsidP="0059668E">
      <w:pPr>
        <w:jc w:val="both"/>
        <w:rPr>
          <w:rFonts w:ascii="Prensa Book" w:hAnsi="Prensa Book"/>
        </w:rPr>
      </w:pPr>
    </w:p>
    <w:p w:rsidR="00BC3321" w:rsidRDefault="00BC3321" w:rsidP="0059668E">
      <w:pPr>
        <w:jc w:val="both"/>
        <w:rPr>
          <w:rFonts w:ascii="Prensa Book" w:hAnsi="Prensa Book"/>
        </w:rPr>
      </w:pPr>
      <w:r>
        <w:rPr>
          <w:rFonts w:ascii="Prensa Book" w:hAnsi="Prensa Book"/>
        </w:rPr>
        <w:t>We are providing the following information:</w:t>
      </w:r>
    </w:p>
    <w:p w:rsidR="005F0C7C" w:rsidRDefault="005F0C7C" w:rsidP="00BC3321">
      <w:pPr>
        <w:pStyle w:val="ListParagraph"/>
        <w:numPr>
          <w:ilvl w:val="0"/>
          <w:numId w:val="3"/>
        </w:numPr>
        <w:jc w:val="both"/>
        <w:rPr>
          <w:rFonts w:ascii="Prensa Book" w:hAnsi="Prensa Book"/>
        </w:rPr>
      </w:pPr>
      <w:r>
        <w:rPr>
          <w:rFonts w:ascii="Prensa Book" w:hAnsi="Prensa Book"/>
        </w:rPr>
        <w:t xml:space="preserve">Monitoring reports provided to our government </w:t>
      </w:r>
      <w:r w:rsidR="007C232D">
        <w:rPr>
          <w:rFonts w:ascii="Prensa Book" w:hAnsi="Prensa Book"/>
        </w:rPr>
        <w:t>partners in Rajasthan and Bihar.</w:t>
      </w:r>
    </w:p>
    <w:p w:rsidR="007C232D" w:rsidRDefault="0009284F" w:rsidP="00BC3321">
      <w:pPr>
        <w:pStyle w:val="ListParagraph"/>
        <w:numPr>
          <w:ilvl w:val="0"/>
          <w:numId w:val="3"/>
        </w:numPr>
        <w:jc w:val="both"/>
        <w:rPr>
          <w:rFonts w:ascii="Prensa Book" w:hAnsi="Prensa Book"/>
        </w:rPr>
      </w:pPr>
      <w:r w:rsidRPr="007C232D">
        <w:rPr>
          <w:rFonts w:ascii="Prensa Book" w:hAnsi="Prensa Book"/>
        </w:rPr>
        <w:t>Prevalence reports and associated data provided to our government partners</w:t>
      </w:r>
      <w:r w:rsidR="00AC1B89" w:rsidRPr="007C232D">
        <w:rPr>
          <w:rFonts w:ascii="Prensa Book" w:hAnsi="Prensa Book"/>
        </w:rPr>
        <w:t xml:space="preserve">. </w:t>
      </w:r>
    </w:p>
    <w:p w:rsidR="0072049E" w:rsidRPr="007C232D" w:rsidRDefault="00AC1B89" w:rsidP="00BC3321">
      <w:pPr>
        <w:pStyle w:val="ListParagraph"/>
        <w:numPr>
          <w:ilvl w:val="0"/>
          <w:numId w:val="3"/>
        </w:numPr>
        <w:jc w:val="both"/>
        <w:rPr>
          <w:rFonts w:ascii="Prensa Book" w:hAnsi="Prensa Book"/>
        </w:rPr>
      </w:pPr>
      <w:r w:rsidRPr="007C232D">
        <w:rPr>
          <w:rFonts w:ascii="Prensa Book" w:hAnsi="Prensa Book"/>
        </w:rPr>
        <w:t>Cost per beneficiary</w:t>
      </w:r>
      <w:r w:rsidR="007C232D" w:rsidRPr="007C232D">
        <w:rPr>
          <w:rFonts w:ascii="Prensa Book" w:hAnsi="Prensa Book"/>
        </w:rPr>
        <w:t xml:space="preserve"> in </w:t>
      </w:r>
      <w:r w:rsidR="00BC3321" w:rsidRPr="007C232D">
        <w:rPr>
          <w:rFonts w:ascii="Prensa Book" w:hAnsi="Prensa Book"/>
        </w:rPr>
        <w:t>Rajasthan, Bihar, Delhi</w:t>
      </w:r>
      <w:r w:rsidR="007C232D" w:rsidRPr="007C232D">
        <w:rPr>
          <w:rFonts w:ascii="Prensa Book" w:hAnsi="Prensa Book"/>
        </w:rPr>
        <w:t>.</w:t>
      </w:r>
    </w:p>
    <w:p w:rsidR="00BC3321" w:rsidRDefault="00BC3321" w:rsidP="00BC3321">
      <w:pPr>
        <w:pStyle w:val="ListParagraph"/>
        <w:numPr>
          <w:ilvl w:val="0"/>
          <w:numId w:val="3"/>
        </w:numPr>
        <w:jc w:val="both"/>
        <w:rPr>
          <w:rFonts w:ascii="Prensa Book" w:hAnsi="Prensa Book"/>
        </w:rPr>
      </w:pPr>
      <w:r>
        <w:rPr>
          <w:rFonts w:ascii="Prensa Book" w:hAnsi="Prensa Book"/>
        </w:rPr>
        <w:t>Self-reported</w:t>
      </w:r>
      <w:r w:rsidR="007C232D">
        <w:rPr>
          <w:rFonts w:ascii="Prensa Book" w:hAnsi="Prensa Book"/>
        </w:rPr>
        <w:t xml:space="preserve"> and validated coverage data in</w:t>
      </w:r>
      <w:r>
        <w:rPr>
          <w:rFonts w:ascii="Prensa Book" w:hAnsi="Prensa Book"/>
        </w:rPr>
        <w:t xml:space="preserve"> Rajasthan, Bihar (2 rounds), Delhi</w:t>
      </w:r>
      <w:r w:rsidR="007C232D">
        <w:rPr>
          <w:rFonts w:ascii="Prensa Book" w:hAnsi="Prensa Book"/>
        </w:rPr>
        <w:t>.</w:t>
      </w:r>
    </w:p>
    <w:p w:rsidR="00BC3321" w:rsidRDefault="00BC3321" w:rsidP="00BC3321">
      <w:pPr>
        <w:pStyle w:val="ListParagraph"/>
        <w:numPr>
          <w:ilvl w:val="0"/>
          <w:numId w:val="3"/>
        </w:numPr>
        <w:jc w:val="both"/>
        <w:rPr>
          <w:rFonts w:ascii="Prensa Book" w:hAnsi="Prensa Book"/>
        </w:rPr>
      </w:pPr>
      <w:r>
        <w:rPr>
          <w:rFonts w:ascii="Prensa Book" w:hAnsi="Prensa Book"/>
        </w:rPr>
        <w:t>Process monitoring data generating by independent monitors to verify training (pre deworming day) and drug administration/reporting (on deworming day)</w:t>
      </w:r>
      <w:r w:rsidR="007C232D">
        <w:rPr>
          <w:rFonts w:ascii="Prensa Book" w:hAnsi="Prensa Book"/>
        </w:rPr>
        <w:t>.</w:t>
      </w:r>
    </w:p>
    <w:p w:rsidR="005F0C7C" w:rsidRDefault="005F0C7C" w:rsidP="0059668E">
      <w:pPr>
        <w:jc w:val="both"/>
        <w:rPr>
          <w:rFonts w:ascii="Prensa Book" w:hAnsi="Prensa Book"/>
        </w:rPr>
      </w:pPr>
      <w:r>
        <w:rPr>
          <w:rFonts w:ascii="Prensa Book" w:hAnsi="Prensa Book"/>
        </w:rPr>
        <w:t>In the remainder of this note, we provide some commentary and context to facilitate the assessment of this data. We cover three major topics:</w:t>
      </w:r>
    </w:p>
    <w:p w:rsidR="005F0C7C" w:rsidRDefault="005F0C7C" w:rsidP="005F0C7C">
      <w:pPr>
        <w:pStyle w:val="ListParagraph"/>
        <w:numPr>
          <w:ilvl w:val="0"/>
          <w:numId w:val="4"/>
        </w:numPr>
        <w:jc w:val="both"/>
        <w:rPr>
          <w:rFonts w:ascii="Prensa Book" w:hAnsi="Prensa Book"/>
        </w:rPr>
      </w:pPr>
      <w:r>
        <w:rPr>
          <w:rFonts w:ascii="Prensa Book" w:hAnsi="Prensa Book"/>
        </w:rPr>
        <w:t>Estimation of government expenditures/ leverage;</w:t>
      </w:r>
    </w:p>
    <w:p w:rsidR="005F0C7C" w:rsidRDefault="005F0C7C" w:rsidP="005F0C7C">
      <w:pPr>
        <w:pStyle w:val="ListParagraph"/>
        <w:numPr>
          <w:ilvl w:val="0"/>
          <w:numId w:val="4"/>
        </w:numPr>
        <w:jc w:val="both"/>
        <w:rPr>
          <w:rFonts w:ascii="Prensa Book" w:hAnsi="Prensa Book"/>
        </w:rPr>
      </w:pPr>
      <w:r>
        <w:rPr>
          <w:rFonts w:ascii="Prensa Book" w:hAnsi="Prensa Book"/>
        </w:rPr>
        <w:t>Differences in costs across settings and associated leverage ratios;</w:t>
      </w:r>
    </w:p>
    <w:p w:rsidR="005F0C7C" w:rsidRPr="005F0C7C" w:rsidRDefault="005F0C7C" w:rsidP="005F0C7C">
      <w:pPr>
        <w:pStyle w:val="ListParagraph"/>
        <w:numPr>
          <w:ilvl w:val="0"/>
          <w:numId w:val="4"/>
        </w:numPr>
        <w:jc w:val="both"/>
        <w:rPr>
          <w:rFonts w:ascii="Prensa Book" w:hAnsi="Prensa Book"/>
        </w:rPr>
      </w:pPr>
      <w:r>
        <w:rPr>
          <w:rFonts w:ascii="Prensa Book" w:hAnsi="Prensa Book"/>
        </w:rPr>
        <w:t>Data quality considerations.</w:t>
      </w:r>
    </w:p>
    <w:p w:rsidR="005F0C7C" w:rsidRDefault="005F0C7C" w:rsidP="0059668E">
      <w:pPr>
        <w:jc w:val="both"/>
        <w:rPr>
          <w:rFonts w:ascii="Prensa Book" w:hAnsi="Prensa Book"/>
        </w:rPr>
      </w:pPr>
    </w:p>
    <w:p w:rsidR="005F0C7C" w:rsidRDefault="005F0C7C" w:rsidP="0059668E">
      <w:pPr>
        <w:jc w:val="both"/>
        <w:rPr>
          <w:rFonts w:ascii="Prensa Book" w:hAnsi="Prensa Book"/>
        </w:rPr>
      </w:pPr>
      <w:r>
        <w:rPr>
          <w:rFonts w:ascii="Prensa Book" w:hAnsi="Prensa Book"/>
        </w:rPr>
        <w:t>I look forward to continuing our conversation.</w:t>
      </w:r>
    </w:p>
    <w:p w:rsidR="005F0C7C" w:rsidRDefault="005F0C7C" w:rsidP="0059668E">
      <w:pPr>
        <w:jc w:val="both"/>
        <w:rPr>
          <w:rFonts w:ascii="Prensa Book" w:hAnsi="Prensa Book"/>
        </w:rPr>
      </w:pPr>
    </w:p>
    <w:p w:rsidR="0072049E" w:rsidRDefault="0072049E" w:rsidP="0059668E">
      <w:pPr>
        <w:jc w:val="both"/>
        <w:rPr>
          <w:rFonts w:ascii="Prensa Book" w:hAnsi="Prensa Book"/>
        </w:rPr>
      </w:pPr>
      <w:r w:rsidRPr="0072049E">
        <w:rPr>
          <w:rFonts w:ascii="Prensa Book" w:hAnsi="Prensa Book"/>
        </w:rPr>
        <w:t>Best,</w:t>
      </w:r>
    </w:p>
    <w:p w:rsidR="007C232D" w:rsidRPr="0072049E" w:rsidRDefault="007C232D" w:rsidP="0059668E">
      <w:pPr>
        <w:jc w:val="both"/>
        <w:rPr>
          <w:rFonts w:ascii="Prensa Book" w:hAnsi="Prensa Book"/>
        </w:rPr>
      </w:pPr>
    </w:p>
    <w:p w:rsidR="00ED729A" w:rsidRPr="0072049E" w:rsidRDefault="0072049E" w:rsidP="0059668E">
      <w:pPr>
        <w:jc w:val="both"/>
        <w:rPr>
          <w:rFonts w:ascii="Prensa Book" w:hAnsi="Prensa Book"/>
        </w:rPr>
        <w:sectPr w:rsidR="00ED729A" w:rsidRPr="0072049E">
          <w:footerReference w:type="default" r:id="rId9"/>
          <w:headerReference w:type="first" r:id="rId10"/>
          <w:pgSz w:w="12240" w:h="15840"/>
          <w:pgMar w:top="1440" w:right="1440" w:bottom="1440" w:left="1440" w:header="720" w:footer="720" w:gutter="0"/>
          <w:cols w:space="720"/>
          <w:titlePg/>
          <w:docGrid w:linePitch="360"/>
        </w:sectPr>
      </w:pPr>
      <w:r w:rsidRPr="0072049E">
        <w:rPr>
          <w:rFonts w:ascii="Prensa Book" w:hAnsi="Prensa Book"/>
        </w:rPr>
        <w:t>Alix</w:t>
      </w:r>
    </w:p>
    <w:p w:rsidR="00C8609A" w:rsidRPr="005F0C7C" w:rsidRDefault="005F0C7C" w:rsidP="00DC5B4B">
      <w:pPr>
        <w:rPr>
          <w:b/>
        </w:rPr>
      </w:pPr>
      <w:r w:rsidRPr="005F0C7C">
        <w:rPr>
          <w:b/>
        </w:rPr>
        <w:lastRenderedPageBreak/>
        <w:t>Estimation of government expenditure and leverage</w:t>
      </w:r>
    </w:p>
    <w:p w:rsidR="007C232D" w:rsidRDefault="008D7779" w:rsidP="00DC5B4B">
      <w:r>
        <w:t>As agreed with Givewell, this submission includes</w:t>
      </w:r>
      <w:r w:rsidR="0009284F">
        <w:t xml:space="preserve"> an analysis of program expenditure by partner. This analysis allows for an assessment of the claim made by DtWI that funds provided to our partnership are highly leveraged, and that this support represents good value for money. </w:t>
      </w:r>
      <w:r w:rsidR="00944DCB">
        <w:t>The table below summarizes the findings of this analysis:</w:t>
      </w:r>
    </w:p>
    <w:p w:rsidR="00944DCB" w:rsidRDefault="00944DCB" w:rsidP="00DC5B4B"/>
    <w:p w:rsidR="003D0300" w:rsidRDefault="003D0300" w:rsidP="00DC5B4B">
      <w:r>
        <w:t>Table 1: Mass deworming expenses by partner</w:t>
      </w:r>
    </w:p>
    <w:tbl>
      <w:tblPr>
        <w:tblStyle w:val="LightShading"/>
        <w:tblW w:w="8028" w:type="dxa"/>
        <w:tblLook w:val="04A0" w:firstRow="1" w:lastRow="0" w:firstColumn="1" w:lastColumn="0" w:noHBand="0" w:noVBand="1"/>
      </w:tblPr>
      <w:tblGrid>
        <w:gridCol w:w="4729"/>
        <w:gridCol w:w="1319"/>
        <w:gridCol w:w="900"/>
        <w:gridCol w:w="1080"/>
      </w:tblGrid>
      <w:tr w:rsidR="00944DCB" w:rsidTr="003D03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44DCB" w:rsidRDefault="00944DCB" w:rsidP="00DC5B4B"/>
        </w:tc>
        <w:tc>
          <w:tcPr>
            <w:tcW w:w="1156" w:type="dxa"/>
          </w:tcPr>
          <w:p w:rsidR="00944DCB" w:rsidRDefault="00944DCB" w:rsidP="00DC5B4B">
            <w:pPr>
              <w:cnfStyle w:val="100000000000" w:firstRow="1" w:lastRow="0" w:firstColumn="0" w:lastColumn="0" w:oddVBand="0" w:evenVBand="0" w:oddHBand="0" w:evenHBand="0" w:firstRowFirstColumn="0" w:firstRowLastColumn="0" w:lastRowFirstColumn="0" w:lastRowLastColumn="0"/>
            </w:pPr>
            <w:r>
              <w:t>Rajasthan</w:t>
            </w:r>
          </w:p>
        </w:tc>
        <w:tc>
          <w:tcPr>
            <w:tcW w:w="900" w:type="dxa"/>
          </w:tcPr>
          <w:p w:rsidR="00944DCB" w:rsidRDefault="00944DCB" w:rsidP="00DC5B4B">
            <w:pPr>
              <w:cnfStyle w:val="100000000000" w:firstRow="1" w:lastRow="0" w:firstColumn="0" w:lastColumn="0" w:oddVBand="0" w:evenVBand="0" w:oddHBand="0" w:evenHBand="0" w:firstRowFirstColumn="0" w:firstRowLastColumn="0" w:lastRowFirstColumn="0" w:lastRowLastColumn="0"/>
            </w:pPr>
            <w:r>
              <w:t>Bihar</w:t>
            </w:r>
          </w:p>
        </w:tc>
        <w:tc>
          <w:tcPr>
            <w:tcW w:w="1080" w:type="dxa"/>
          </w:tcPr>
          <w:p w:rsidR="00944DCB" w:rsidRDefault="00944DCB" w:rsidP="00DC5B4B">
            <w:pPr>
              <w:cnfStyle w:val="100000000000" w:firstRow="1" w:lastRow="0" w:firstColumn="0" w:lastColumn="0" w:oddVBand="0" w:evenVBand="0" w:oddHBand="0" w:evenHBand="0" w:firstRowFirstColumn="0" w:firstRowLastColumn="0" w:lastRowFirstColumn="0" w:lastRowLastColumn="0"/>
            </w:pPr>
            <w:r>
              <w:t>Delhi</w:t>
            </w:r>
          </w:p>
        </w:tc>
      </w:tr>
      <w:tr w:rsidR="00944DCB" w:rsidTr="003D0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44DCB" w:rsidRDefault="00944DCB" w:rsidP="00DC5B4B">
            <w:r>
              <w:t>Total treated (millions)</w:t>
            </w:r>
          </w:p>
        </w:tc>
        <w:tc>
          <w:tcPr>
            <w:tcW w:w="1156" w:type="dxa"/>
          </w:tcPr>
          <w:p w:rsidR="00944DCB" w:rsidRDefault="00944DCB" w:rsidP="00FA67B7">
            <w:pPr>
              <w:cnfStyle w:val="000000100000" w:firstRow="0" w:lastRow="0" w:firstColumn="0" w:lastColumn="0" w:oddVBand="0" w:evenVBand="0" w:oddHBand="1" w:evenHBand="0" w:firstRowFirstColumn="0" w:firstRowLastColumn="0" w:lastRowFirstColumn="0" w:lastRowLastColumn="0"/>
            </w:pPr>
            <w:r>
              <w:t>10.</w:t>
            </w:r>
            <w:r w:rsidR="00FA67B7">
              <w:t>8</w:t>
            </w:r>
          </w:p>
        </w:tc>
        <w:tc>
          <w:tcPr>
            <w:tcW w:w="900" w:type="dxa"/>
          </w:tcPr>
          <w:p w:rsidR="00944DCB" w:rsidRDefault="00944DCB" w:rsidP="00DC5B4B">
            <w:pPr>
              <w:cnfStyle w:val="000000100000" w:firstRow="0" w:lastRow="0" w:firstColumn="0" w:lastColumn="0" w:oddVBand="0" w:evenVBand="0" w:oddHBand="1" w:evenHBand="0" w:firstRowFirstColumn="0" w:firstRowLastColumn="0" w:lastRowFirstColumn="0" w:lastRowLastColumn="0"/>
            </w:pPr>
            <w:r>
              <w:t>17.1</w:t>
            </w:r>
          </w:p>
        </w:tc>
        <w:tc>
          <w:tcPr>
            <w:tcW w:w="1080" w:type="dxa"/>
          </w:tcPr>
          <w:p w:rsidR="00944DCB" w:rsidRDefault="00AF73D1" w:rsidP="00DC5B4B">
            <w:pPr>
              <w:cnfStyle w:val="000000100000" w:firstRow="0" w:lastRow="0" w:firstColumn="0" w:lastColumn="0" w:oddVBand="0" w:evenVBand="0" w:oddHBand="1" w:evenHBand="0" w:firstRowFirstColumn="0" w:firstRowLastColumn="0" w:lastRowFirstColumn="0" w:lastRowLastColumn="0"/>
            </w:pPr>
            <w:r>
              <w:t>2.65</w:t>
            </w:r>
          </w:p>
        </w:tc>
      </w:tr>
      <w:tr w:rsidR="00944DCB" w:rsidTr="003D0300">
        <w:tc>
          <w:tcPr>
            <w:cnfStyle w:val="001000000000" w:firstRow="0" w:lastRow="0" w:firstColumn="1" w:lastColumn="0" w:oddVBand="0" w:evenVBand="0" w:oddHBand="0" w:evenHBand="0" w:firstRowFirstColumn="0" w:firstRowLastColumn="0" w:lastRowFirstColumn="0" w:lastRowLastColumn="0"/>
            <w:tcW w:w="0" w:type="auto"/>
          </w:tcPr>
          <w:p w:rsidR="00944DCB" w:rsidRDefault="00944DCB" w:rsidP="00DC5B4B">
            <w:r>
              <w:t>Program unit cost ($)</w:t>
            </w:r>
          </w:p>
        </w:tc>
        <w:tc>
          <w:tcPr>
            <w:tcW w:w="1156" w:type="dxa"/>
          </w:tcPr>
          <w:p w:rsidR="00944DCB" w:rsidRDefault="00944DCB" w:rsidP="00FA67B7">
            <w:pPr>
              <w:cnfStyle w:val="000000000000" w:firstRow="0" w:lastRow="0" w:firstColumn="0" w:lastColumn="0" w:oddVBand="0" w:evenVBand="0" w:oddHBand="0" w:evenHBand="0" w:firstRowFirstColumn="0" w:firstRowLastColumn="0" w:lastRowFirstColumn="0" w:lastRowLastColumn="0"/>
            </w:pPr>
            <w:r>
              <w:t>0.</w:t>
            </w:r>
            <w:r w:rsidR="00FA67B7">
              <w:t>29</w:t>
            </w:r>
          </w:p>
        </w:tc>
        <w:tc>
          <w:tcPr>
            <w:tcW w:w="900" w:type="dxa"/>
          </w:tcPr>
          <w:p w:rsidR="00944DCB" w:rsidRDefault="00944DCB" w:rsidP="00DC5B4B">
            <w:pPr>
              <w:cnfStyle w:val="000000000000" w:firstRow="0" w:lastRow="0" w:firstColumn="0" w:lastColumn="0" w:oddVBand="0" w:evenVBand="0" w:oddHBand="0" w:evenHBand="0" w:firstRowFirstColumn="0" w:firstRowLastColumn="0" w:lastRowFirstColumn="0" w:lastRowLastColumn="0"/>
            </w:pPr>
            <w:r>
              <w:t>0.35</w:t>
            </w:r>
          </w:p>
        </w:tc>
        <w:tc>
          <w:tcPr>
            <w:tcW w:w="1080" w:type="dxa"/>
          </w:tcPr>
          <w:p w:rsidR="00944DCB" w:rsidRDefault="00944DCB" w:rsidP="00DC5B4B">
            <w:pPr>
              <w:cnfStyle w:val="000000000000" w:firstRow="0" w:lastRow="0" w:firstColumn="0" w:lastColumn="0" w:oddVBand="0" w:evenVBand="0" w:oddHBand="0" w:evenHBand="0" w:firstRowFirstColumn="0" w:firstRowLastColumn="0" w:lastRowFirstColumn="0" w:lastRowLastColumn="0"/>
            </w:pPr>
            <w:r>
              <w:t>0.31</w:t>
            </w:r>
          </w:p>
        </w:tc>
      </w:tr>
      <w:tr w:rsidR="00944DCB" w:rsidTr="003D0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44DCB" w:rsidRDefault="00944DCB" w:rsidP="00DC5B4B">
            <w:r>
              <w:t>Government unit cost ($)</w:t>
            </w:r>
          </w:p>
        </w:tc>
        <w:tc>
          <w:tcPr>
            <w:tcW w:w="1156" w:type="dxa"/>
          </w:tcPr>
          <w:p w:rsidR="00944DCB" w:rsidRDefault="00944DCB" w:rsidP="00FA67B7">
            <w:pPr>
              <w:cnfStyle w:val="000000100000" w:firstRow="0" w:lastRow="0" w:firstColumn="0" w:lastColumn="0" w:oddVBand="0" w:evenVBand="0" w:oddHBand="1" w:evenHBand="0" w:firstRowFirstColumn="0" w:firstRowLastColumn="0" w:lastRowFirstColumn="0" w:lastRowLastColumn="0"/>
            </w:pPr>
            <w:r>
              <w:t>0.2</w:t>
            </w:r>
            <w:r w:rsidR="00FA67B7">
              <w:t>3</w:t>
            </w:r>
          </w:p>
        </w:tc>
        <w:tc>
          <w:tcPr>
            <w:tcW w:w="900" w:type="dxa"/>
          </w:tcPr>
          <w:p w:rsidR="00944DCB" w:rsidRDefault="00944DCB" w:rsidP="00DC5B4B">
            <w:pPr>
              <w:cnfStyle w:val="000000100000" w:firstRow="0" w:lastRow="0" w:firstColumn="0" w:lastColumn="0" w:oddVBand="0" w:evenVBand="0" w:oddHBand="1" w:evenHBand="0" w:firstRowFirstColumn="0" w:firstRowLastColumn="0" w:lastRowFirstColumn="0" w:lastRowLastColumn="0"/>
            </w:pPr>
            <w:r>
              <w:t>0.32</w:t>
            </w:r>
          </w:p>
        </w:tc>
        <w:tc>
          <w:tcPr>
            <w:tcW w:w="1080" w:type="dxa"/>
          </w:tcPr>
          <w:p w:rsidR="00944DCB" w:rsidRDefault="00944DCB" w:rsidP="00AF73D1">
            <w:pPr>
              <w:cnfStyle w:val="000000100000" w:firstRow="0" w:lastRow="0" w:firstColumn="0" w:lastColumn="0" w:oddVBand="0" w:evenVBand="0" w:oddHBand="1" w:evenHBand="0" w:firstRowFirstColumn="0" w:firstRowLastColumn="0" w:lastRowFirstColumn="0" w:lastRowLastColumn="0"/>
            </w:pPr>
            <w:r>
              <w:t>0.1</w:t>
            </w:r>
            <w:r w:rsidR="00AF73D1">
              <w:t>8</w:t>
            </w:r>
          </w:p>
        </w:tc>
      </w:tr>
      <w:tr w:rsidR="00944DCB" w:rsidTr="003D0300">
        <w:tc>
          <w:tcPr>
            <w:cnfStyle w:val="001000000000" w:firstRow="0" w:lastRow="0" w:firstColumn="1" w:lastColumn="0" w:oddVBand="0" w:evenVBand="0" w:oddHBand="0" w:evenHBand="0" w:firstRowFirstColumn="0" w:firstRowLastColumn="0" w:lastRowFirstColumn="0" w:lastRowLastColumn="0"/>
            <w:tcW w:w="0" w:type="auto"/>
          </w:tcPr>
          <w:p w:rsidR="00944DCB" w:rsidRDefault="00944DCB" w:rsidP="00DC5B4B">
            <w:r>
              <w:t>Other partner unit cost ($)</w:t>
            </w:r>
          </w:p>
        </w:tc>
        <w:tc>
          <w:tcPr>
            <w:tcW w:w="1156" w:type="dxa"/>
          </w:tcPr>
          <w:p w:rsidR="00944DCB" w:rsidRDefault="00944DCB" w:rsidP="00FA67B7">
            <w:pPr>
              <w:cnfStyle w:val="000000000000" w:firstRow="0" w:lastRow="0" w:firstColumn="0" w:lastColumn="0" w:oddVBand="0" w:evenVBand="0" w:oddHBand="0" w:evenHBand="0" w:firstRowFirstColumn="0" w:firstRowLastColumn="0" w:lastRowFirstColumn="0" w:lastRowLastColumn="0"/>
            </w:pPr>
            <w:r>
              <w:t>0.0</w:t>
            </w:r>
            <w:r w:rsidR="00FA67B7">
              <w:t>2</w:t>
            </w:r>
          </w:p>
        </w:tc>
        <w:tc>
          <w:tcPr>
            <w:tcW w:w="900" w:type="dxa"/>
          </w:tcPr>
          <w:p w:rsidR="00944DCB" w:rsidRDefault="00944DCB" w:rsidP="00DC5B4B">
            <w:pPr>
              <w:cnfStyle w:val="000000000000" w:firstRow="0" w:lastRow="0" w:firstColumn="0" w:lastColumn="0" w:oddVBand="0" w:evenVBand="0" w:oddHBand="0" w:evenHBand="0" w:firstRowFirstColumn="0" w:firstRowLastColumn="0" w:lastRowFirstColumn="0" w:lastRowLastColumn="0"/>
            </w:pPr>
            <w:r>
              <w:t>0.00</w:t>
            </w:r>
          </w:p>
        </w:tc>
        <w:tc>
          <w:tcPr>
            <w:tcW w:w="1080" w:type="dxa"/>
          </w:tcPr>
          <w:p w:rsidR="00944DCB" w:rsidRDefault="00944DCB" w:rsidP="00DC5B4B">
            <w:pPr>
              <w:cnfStyle w:val="000000000000" w:firstRow="0" w:lastRow="0" w:firstColumn="0" w:lastColumn="0" w:oddVBand="0" w:evenVBand="0" w:oddHBand="0" w:evenHBand="0" w:firstRowFirstColumn="0" w:firstRowLastColumn="0" w:lastRowFirstColumn="0" w:lastRowLastColumn="0"/>
            </w:pPr>
            <w:r>
              <w:t>0.02</w:t>
            </w:r>
          </w:p>
        </w:tc>
      </w:tr>
      <w:tr w:rsidR="00944DCB" w:rsidTr="003D0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44DCB" w:rsidRDefault="00944DCB" w:rsidP="00DC5B4B">
            <w:r>
              <w:t>DtWI unit cost ($)</w:t>
            </w:r>
          </w:p>
        </w:tc>
        <w:tc>
          <w:tcPr>
            <w:tcW w:w="1156" w:type="dxa"/>
          </w:tcPr>
          <w:p w:rsidR="00944DCB" w:rsidRDefault="00944DCB" w:rsidP="00DC5B4B">
            <w:pPr>
              <w:cnfStyle w:val="000000100000" w:firstRow="0" w:lastRow="0" w:firstColumn="0" w:lastColumn="0" w:oddVBand="0" w:evenVBand="0" w:oddHBand="1" w:evenHBand="0" w:firstRowFirstColumn="0" w:firstRowLastColumn="0" w:lastRowFirstColumn="0" w:lastRowLastColumn="0"/>
            </w:pPr>
            <w:r>
              <w:t>0.03</w:t>
            </w:r>
          </w:p>
        </w:tc>
        <w:tc>
          <w:tcPr>
            <w:tcW w:w="900" w:type="dxa"/>
          </w:tcPr>
          <w:p w:rsidR="00944DCB" w:rsidRDefault="00944DCB" w:rsidP="00DC5B4B">
            <w:pPr>
              <w:cnfStyle w:val="000000100000" w:firstRow="0" w:lastRow="0" w:firstColumn="0" w:lastColumn="0" w:oddVBand="0" w:evenVBand="0" w:oddHBand="1" w:evenHBand="0" w:firstRowFirstColumn="0" w:firstRowLastColumn="0" w:lastRowFirstColumn="0" w:lastRowLastColumn="0"/>
            </w:pPr>
            <w:r>
              <w:t>0.03</w:t>
            </w:r>
          </w:p>
        </w:tc>
        <w:tc>
          <w:tcPr>
            <w:tcW w:w="1080" w:type="dxa"/>
          </w:tcPr>
          <w:p w:rsidR="00944DCB" w:rsidRDefault="00944DCB" w:rsidP="00AF73D1">
            <w:pPr>
              <w:cnfStyle w:val="000000100000" w:firstRow="0" w:lastRow="0" w:firstColumn="0" w:lastColumn="0" w:oddVBand="0" w:evenVBand="0" w:oddHBand="1" w:evenHBand="0" w:firstRowFirstColumn="0" w:firstRowLastColumn="0" w:lastRowFirstColumn="0" w:lastRowLastColumn="0"/>
            </w:pPr>
            <w:r>
              <w:t>0.1</w:t>
            </w:r>
            <w:r w:rsidR="00AF73D1">
              <w:t>1</w:t>
            </w:r>
          </w:p>
        </w:tc>
      </w:tr>
    </w:tbl>
    <w:p w:rsidR="00944DCB" w:rsidRDefault="00944DCB" w:rsidP="00DC5B4B"/>
    <w:p w:rsidR="00944DCB" w:rsidRDefault="00944DCB" w:rsidP="00944DCB">
      <w:r>
        <w:t>We stress that these figures do represent an estimate of total program costs. As we detail in the workbook, we must impute some of the government costs as these are often in kind. However, we have made a good faith estimate to capture the full costs as we understand them. In addition, we are also able to document direct spending on cer</w:t>
      </w:r>
      <w:r w:rsidR="0031058C">
        <w:t>tain areas of deworming by the g</w:t>
      </w:r>
      <w:r>
        <w:t xml:space="preserve">overnment. We note that preliminary estimates of program costs in Kenya, which we can estimate with far greater precision, suggest programming costs there of about $0.40 per child. </w:t>
      </w:r>
    </w:p>
    <w:p w:rsidR="00944DCB" w:rsidRDefault="00944DCB" w:rsidP="00944DCB"/>
    <w:p w:rsidR="00944DCB" w:rsidRDefault="00944DCB" w:rsidP="00944DCB">
      <w:r>
        <w:t xml:space="preserve">There is significant difference in the costs </w:t>
      </w:r>
      <w:r w:rsidR="003D0300">
        <w:t>borne</w:t>
      </w:r>
      <w:r>
        <w:t xml:space="preserve"> by DtWI across settings in the data that we </w:t>
      </w:r>
      <w:r w:rsidR="0031058C">
        <w:t>present</w:t>
      </w:r>
      <w:r>
        <w:t>. In Delhi, in particular, DtWI</w:t>
      </w:r>
      <w:r w:rsidR="00525095">
        <w:t xml:space="preserve"> had much higher </w:t>
      </w:r>
      <w:r>
        <w:t>unit costs than</w:t>
      </w:r>
      <w:r w:rsidR="00525095">
        <w:t xml:space="preserve"> in</w:t>
      </w:r>
      <w:r>
        <w:t xml:space="preserve"> Rajasthan or Bihar. While there may be several potential explanations for these differences in costs, we also believe there are significant non-linearities in programming costs, as we discuss further below. </w:t>
      </w:r>
    </w:p>
    <w:p w:rsidR="00944DCB" w:rsidRDefault="00944DCB" w:rsidP="00944DCB"/>
    <w:p w:rsidR="00525095" w:rsidRDefault="003D0300" w:rsidP="00DC5B4B">
      <w:r>
        <w:t>Even within the DtWI data it is necessary to make some judgment calls in allocating costs across categories</w:t>
      </w:r>
      <w:r w:rsidR="00525095">
        <w:t xml:space="preserve"> of work, though we do provide this estimate for Rajasthan and Delhi</w:t>
      </w:r>
      <w:r>
        <w:t xml:space="preserve">. </w:t>
      </w:r>
      <w:r w:rsidR="004B0066">
        <w:t xml:space="preserve">As a young organization, our historical accounting of costs </w:t>
      </w:r>
      <w:r w:rsidR="008E1644">
        <w:t xml:space="preserve">was </w:t>
      </w:r>
      <w:r w:rsidR="004B0066">
        <w:t xml:space="preserve">primarily </w:t>
      </w:r>
      <w:r w:rsidR="008E1644">
        <w:t xml:space="preserve">concerned with documenting total </w:t>
      </w:r>
      <w:r w:rsidR="004B0066">
        <w:t xml:space="preserve">cost </w:t>
      </w:r>
      <w:r w:rsidR="008E1644">
        <w:t xml:space="preserve">outflows to </w:t>
      </w:r>
      <w:r w:rsidR="004B0066">
        <w:t xml:space="preserve">particular state </w:t>
      </w:r>
      <w:r w:rsidR="008E1644">
        <w:t xml:space="preserve">programs and not </w:t>
      </w:r>
      <w:r w:rsidR="004B0066">
        <w:t xml:space="preserve">to documenting details tied to spending on different core activities. For example, a trip for M&amp;E to Bihar may simply have been documented as “Air Travel </w:t>
      </w:r>
      <w:r w:rsidR="00525095">
        <w:t>to Bihar”, without necessarily d</w:t>
      </w:r>
      <w:r w:rsidR="004B0066">
        <w:t xml:space="preserve">ocumenting the purpose of the trip (and therefore the activity category under which such a cost would fall). Alternatively, a person hired for M&amp;E in India may simply have been recorded under the category of “Salaries to non-US personnel”. This made it difficult to break down our cost by </w:t>
      </w:r>
      <w:r w:rsidR="00525095">
        <w:t>output with complete accuracy</w:t>
      </w:r>
      <w:r>
        <w:t>.</w:t>
      </w:r>
      <w:r w:rsidR="00525095">
        <w:t xml:space="preserve"> M&amp;E expenditures are particularly underestimated, with many costs relate</w:t>
      </w:r>
      <w:r w:rsidR="0031058C">
        <w:t xml:space="preserve">d to M&amp;E charged to </w:t>
      </w:r>
      <w:r w:rsidR="00525095">
        <w:t>personnel /consulting.</w:t>
      </w:r>
      <w:r>
        <w:t xml:space="preserve"> </w:t>
      </w:r>
    </w:p>
    <w:p w:rsidR="00525095" w:rsidRDefault="00525095" w:rsidP="00DC5B4B"/>
    <w:p w:rsidR="003D0300" w:rsidRDefault="003D0300" w:rsidP="00DC5B4B">
      <w:r>
        <w:t xml:space="preserve">We recommend focusing primarily on the Rajasthan analysis, which is the most accurate of the three, as a result of these considerations. </w:t>
      </w:r>
    </w:p>
    <w:p w:rsidR="005F0C7C" w:rsidRDefault="005F0C7C" w:rsidP="00DC5B4B"/>
    <w:p w:rsidR="00FA67B7" w:rsidRDefault="00FA67B7" w:rsidP="00DC5B4B"/>
    <w:p w:rsidR="00FA67B7" w:rsidRDefault="00FA67B7" w:rsidP="00DC5B4B"/>
    <w:p w:rsidR="005F0C7C" w:rsidRPr="005F0C7C" w:rsidRDefault="005F0C7C" w:rsidP="00DC5B4B">
      <w:pPr>
        <w:rPr>
          <w:b/>
        </w:rPr>
      </w:pPr>
      <w:r w:rsidRPr="005F0C7C">
        <w:rPr>
          <w:b/>
        </w:rPr>
        <w:lastRenderedPageBreak/>
        <w:t>Cost differences across settings</w:t>
      </w:r>
    </w:p>
    <w:p w:rsidR="006777E8" w:rsidRDefault="006777E8" w:rsidP="00DC5B4B"/>
    <w:p w:rsidR="00C11AE1" w:rsidRPr="00DB4673" w:rsidRDefault="003D0300" w:rsidP="00DB4673">
      <w:r>
        <w:t xml:space="preserve">While our </w:t>
      </w:r>
      <w:r w:rsidR="006777E8" w:rsidRPr="00DB4673">
        <w:t xml:space="preserve">data is currently too incomplete to truly understand the magnitudes and </w:t>
      </w:r>
      <w:r>
        <w:t>linearity/non-linearity of the</w:t>
      </w:r>
      <w:r w:rsidR="006777E8" w:rsidRPr="00DB4673">
        <w:t xml:space="preserve"> scale effects</w:t>
      </w:r>
      <w:r>
        <w:t xml:space="preserve"> in our business model</w:t>
      </w:r>
      <w:r w:rsidR="006777E8" w:rsidRPr="00DB4673">
        <w:t xml:space="preserve">, it is important to recognize that they do </w:t>
      </w:r>
      <w:r w:rsidR="00DB4673">
        <w:t xml:space="preserve">appear to </w:t>
      </w:r>
      <w:r w:rsidR="006777E8" w:rsidRPr="00DB4673">
        <w:t xml:space="preserve">exist. In the case of states like Bihar, where 17 million people were dewormed in 2011, DtWI costs amounted to approximately 2.8 cents a person. </w:t>
      </w:r>
      <w:r w:rsidR="00377094" w:rsidRPr="00DB4673">
        <w:t>In Rajasthan, where we dewormed approximately 10 million children, the per child cost that DtWI incurred was approximately 3.</w:t>
      </w:r>
      <w:r w:rsidR="00FA67B7">
        <w:t>0</w:t>
      </w:r>
      <w:r w:rsidR="00377094" w:rsidRPr="00DB4673">
        <w:t xml:space="preserve"> cents a child. </w:t>
      </w:r>
      <w:r w:rsidR="006777E8" w:rsidRPr="00DB4673">
        <w:t>In places like Delhi where 2.</w:t>
      </w:r>
      <w:r w:rsidR="00AF73D1">
        <w:t>65</w:t>
      </w:r>
      <w:r w:rsidR="006777E8" w:rsidRPr="00DB4673">
        <w:t xml:space="preserve"> million children were dewormed in 2012, the cost to DtWI was approximately </w:t>
      </w:r>
      <w:r>
        <w:t>1</w:t>
      </w:r>
      <w:r w:rsidR="00AF73D1">
        <w:t>1</w:t>
      </w:r>
      <w:r w:rsidR="006777E8" w:rsidRPr="00DB4673">
        <w:t xml:space="preserve"> cents a child.  </w:t>
      </w:r>
      <w:r>
        <w:t xml:space="preserve">This is despite the fact that </w:t>
      </w:r>
      <w:r w:rsidR="00AF73D1">
        <w:t xml:space="preserve">some </w:t>
      </w:r>
      <w:r>
        <w:t xml:space="preserve">prevalence survey costs were reimbursed by the government in Delhi. </w:t>
      </w:r>
      <w:r w:rsidR="00377094" w:rsidRPr="00DB4673">
        <w:t>On the basis of this evidence, it appears to us that</w:t>
      </w:r>
      <w:r w:rsidR="006777E8" w:rsidRPr="00DB4673">
        <w:t xml:space="preserve"> states with smaller populations tend </w:t>
      </w:r>
      <w:r w:rsidR="00377094" w:rsidRPr="00DB4673">
        <w:t>to have higher per child costs</w:t>
      </w:r>
      <w:r w:rsidR="00525095">
        <w:t xml:space="preserve"> because a large portion of our costs are fixed</w:t>
      </w:r>
      <w:r w:rsidR="00377094" w:rsidRPr="00DB4673">
        <w:t xml:space="preserve">. </w:t>
      </w:r>
    </w:p>
    <w:p w:rsidR="00DB4673" w:rsidRDefault="00DB4673" w:rsidP="00DB4673">
      <w:pPr>
        <w:rPr>
          <w:rFonts w:eastAsiaTheme="minorHAnsi"/>
          <w:szCs w:val="22"/>
        </w:rPr>
      </w:pPr>
    </w:p>
    <w:p w:rsidR="00C11AE1" w:rsidRDefault="003D0300" w:rsidP="00525095">
      <w:r>
        <w:t>T</w:t>
      </w:r>
      <w:r w:rsidR="00B96B86" w:rsidRPr="00E12590">
        <w:t>he difference</w:t>
      </w:r>
      <w:r w:rsidR="00945964" w:rsidRPr="00E12590">
        <w:t xml:space="preserve"> in cost per child</w:t>
      </w:r>
      <w:r w:rsidR="00B96B86" w:rsidRPr="00E12590">
        <w:t xml:space="preserve"> may </w:t>
      </w:r>
      <w:r w:rsidR="00525095">
        <w:t xml:space="preserve">also </w:t>
      </w:r>
      <w:r w:rsidR="00B96B86" w:rsidRPr="00E12590">
        <w:t>reflect differences in cost</w:t>
      </w:r>
      <w:r w:rsidR="00C11AE1" w:rsidRPr="00E12590">
        <w:t>s</w:t>
      </w:r>
      <w:r w:rsidR="00B96B86" w:rsidRPr="00E12590">
        <w:t xml:space="preserve"> related to pursuing </w:t>
      </w:r>
      <w:r w:rsidR="00FA67B7">
        <w:t>a</w:t>
      </w:r>
      <w:r w:rsidR="004B0E21" w:rsidRPr="00E12590">
        <w:t xml:space="preserve">nganwadi schools. Anganwadi schools are small community schools with pre-school age children. They are highly disorganized, </w:t>
      </w:r>
      <w:r w:rsidR="0050270A" w:rsidRPr="00E12590">
        <w:t>with</w:t>
      </w:r>
      <w:r w:rsidR="004B0E21" w:rsidRPr="00E12590">
        <w:t xml:space="preserve"> no accurate databases reflect</w:t>
      </w:r>
      <w:r w:rsidR="0050270A" w:rsidRPr="00E12590">
        <w:t>ing</w:t>
      </w:r>
      <w:r w:rsidR="004B0E21" w:rsidRPr="00E12590">
        <w:t xml:space="preserve"> their presence or enrolment. </w:t>
      </w:r>
      <w:r w:rsidR="0050270A" w:rsidRPr="00E12590">
        <w:t>Often their e</w:t>
      </w:r>
      <w:r w:rsidR="00945964" w:rsidRPr="00E12590">
        <w:t>xistence and assessment of need are difficult to ascertain. T</w:t>
      </w:r>
      <w:r w:rsidR="0050270A" w:rsidRPr="00E12590">
        <w:t xml:space="preserve">hus </w:t>
      </w:r>
      <w:r w:rsidR="00945964" w:rsidRPr="00E12590">
        <w:t>they are</w:t>
      </w:r>
      <w:r w:rsidR="004B0E21" w:rsidRPr="00E12590">
        <w:t xml:space="preserve"> a little more costly to deworm, given the additional costs of training, logistics, and drug distribution, compared to reg</w:t>
      </w:r>
      <w:r>
        <w:t>ular government schools. I</w:t>
      </w:r>
      <w:r w:rsidR="004B0E21" w:rsidRPr="00E12590">
        <w:t>n Bihar, we did not do</w:t>
      </w:r>
      <w:r>
        <w:t xml:space="preserve"> deworming in </w:t>
      </w:r>
      <w:r w:rsidR="00FA67B7">
        <w:t>a</w:t>
      </w:r>
      <w:bookmarkStart w:id="0" w:name="_GoBack"/>
      <w:bookmarkEnd w:id="0"/>
      <w:r>
        <w:t>nganwadi schools</w:t>
      </w:r>
      <w:r w:rsidR="004B0E21" w:rsidRPr="00E12590">
        <w:t xml:space="preserve">. </w:t>
      </w:r>
      <w:r>
        <w:t>To assess the extent to which this is an important driver of our costs, we would need to examine the relative proportion of anganwadi and non-anganwadi beneficiaries. We have not done that analysis at this time, but it is feasible.</w:t>
      </w:r>
    </w:p>
    <w:p w:rsidR="00525095" w:rsidRPr="00525095" w:rsidRDefault="00525095" w:rsidP="00525095"/>
    <w:p w:rsidR="00C11AE1" w:rsidRPr="00E12590" w:rsidRDefault="003D0300" w:rsidP="00E12590">
      <w:r>
        <w:t>I</w:t>
      </w:r>
      <w:r w:rsidR="00945964" w:rsidRPr="00E12590">
        <w:t>t may simply be more expensive to operate in</w:t>
      </w:r>
      <w:r>
        <w:t xml:space="preserve"> urban</w:t>
      </w:r>
      <w:r w:rsidR="00945964" w:rsidRPr="00E12590">
        <w:t xml:space="preserve"> Delhi than Rajasthan. This</w:t>
      </w:r>
      <w:r>
        <w:t xml:space="preserve"> is plausible, but unlikely to explain fully the cost differences observed.</w:t>
      </w:r>
      <w:r w:rsidR="00945964" w:rsidRPr="00E12590">
        <w:t xml:space="preserve"> The salaries we offer our staff are </w:t>
      </w:r>
      <w:r w:rsidR="005412BB" w:rsidRPr="00E12590">
        <w:t xml:space="preserve">very </w:t>
      </w:r>
      <w:r w:rsidR="00945964" w:rsidRPr="00E12590">
        <w:t xml:space="preserve">similar across all the states, and indeed costs in Rajasthan are not three times those in Delhi, excluding certain costs like real estate. Even in real estate, the cost difference between our Delhi and Rajasthan offices are small. </w:t>
      </w:r>
      <w:r w:rsidR="00525095">
        <w:t>We are a low-</w:t>
      </w:r>
      <w:r w:rsidR="00C11AE1" w:rsidRPr="00E12590">
        <w:t>cost operation, and our office loc</w:t>
      </w:r>
      <w:r w:rsidR="00525095">
        <w:t>ation and size reflect this low-</w:t>
      </w:r>
      <w:r w:rsidR="00C11AE1" w:rsidRPr="00E12590">
        <w:t xml:space="preserve">cost philosophy. </w:t>
      </w:r>
    </w:p>
    <w:p w:rsidR="00525095" w:rsidRDefault="00525095" w:rsidP="00E12590"/>
    <w:p w:rsidR="00AC2E5B" w:rsidRPr="00E12590" w:rsidRDefault="006C6BC5" w:rsidP="00E12590">
      <w:r w:rsidRPr="00E12590">
        <w:t>T</w:t>
      </w:r>
      <w:r w:rsidR="00945964" w:rsidRPr="00E12590">
        <w:t xml:space="preserve">he most likely reason for this difference in costs </w:t>
      </w:r>
      <w:r w:rsidRPr="00E12590">
        <w:t>is that</w:t>
      </w:r>
      <w:r w:rsidR="00945964" w:rsidRPr="00E12590">
        <w:t xml:space="preserve"> </w:t>
      </w:r>
      <w:r w:rsidR="006777E8" w:rsidRPr="00E12590">
        <w:t xml:space="preserve">the fixed costs of the program (the core state staff necessary to run these programs, the advocacy costs, the awareness costs) </w:t>
      </w:r>
      <w:r w:rsidR="004034CC" w:rsidRPr="00E12590">
        <w:t xml:space="preserve">are similar in each state. When these fixed costs </w:t>
      </w:r>
      <w:r w:rsidR="006777E8" w:rsidRPr="00E12590">
        <w:t>are spread across fewer beneficiaries</w:t>
      </w:r>
      <w:r w:rsidRPr="00E12590">
        <w:t xml:space="preserve"> in a smaller state</w:t>
      </w:r>
      <w:r w:rsidR="00525095">
        <w:t>, per unit costs fall</w:t>
      </w:r>
      <w:r w:rsidR="006777E8" w:rsidRPr="00E12590">
        <w:t xml:space="preserve">. </w:t>
      </w:r>
      <w:r w:rsidR="00525095">
        <w:t xml:space="preserve"> This supports DtWI’s claim that deworming is most efficiently done at the national (or state, in India) level; district level programming, often still undertaken by some actors in this space, is inefficient. </w:t>
      </w:r>
    </w:p>
    <w:p w:rsidR="00AC2E5B" w:rsidRPr="006777E8" w:rsidRDefault="00AC2E5B" w:rsidP="00DC5B4B"/>
    <w:p w:rsidR="005F0C7C" w:rsidRDefault="005F0C7C" w:rsidP="00DC5B4B">
      <w:pPr>
        <w:rPr>
          <w:b/>
        </w:rPr>
      </w:pPr>
      <w:r w:rsidRPr="005F0C7C">
        <w:rPr>
          <w:b/>
        </w:rPr>
        <w:t>Data quality considerations</w:t>
      </w:r>
    </w:p>
    <w:p w:rsidR="00AC2E5B" w:rsidRPr="0009284F" w:rsidRDefault="00AC2E5B" w:rsidP="00DC5B4B">
      <w:pPr>
        <w:rPr>
          <w:b/>
        </w:rPr>
      </w:pPr>
    </w:p>
    <w:p w:rsidR="0009284F" w:rsidRPr="0009284F" w:rsidRDefault="0009284F" w:rsidP="0009284F">
      <w:pPr>
        <w:jc w:val="both"/>
      </w:pPr>
      <w:r w:rsidRPr="0009284F">
        <w:t>Please note that there are some iss</w:t>
      </w:r>
      <w:r w:rsidR="004034CC">
        <w:t>ues with data</w:t>
      </w:r>
      <w:r w:rsidR="00525095">
        <w:t xml:space="preserve"> completeness</w:t>
      </w:r>
      <w:r w:rsidR="004034CC">
        <w:t xml:space="preserve"> for Bihar Round 2. Seventeen of 534 blocks in Bihar have still not reported their coverage data. It is believed that some of these blocks did not do the deworming, while others have simply not returned coverag</w:t>
      </w:r>
      <w:r w:rsidR="00525095">
        <w:t>e forms, despite many entreaties</w:t>
      </w:r>
      <w:r w:rsidR="004034CC">
        <w:t xml:space="preserve"> to return them. The data we report for Bihar is therefore not complete and may also suffer some inconsistencies, since coverage forms </w:t>
      </w:r>
      <w:r w:rsidR="004034CC">
        <w:lastRenderedPageBreak/>
        <w:t xml:space="preserve">have been trickling in over the last few months. These inconsistencies and possible problems are explained in the “Note” tab in the relevant excel file. </w:t>
      </w:r>
      <w:r w:rsidRPr="0009284F">
        <w:t xml:space="preserve"> </w:t>
      </w:r>
    </w:p>
    <w:p w:rsidR="004034CC" w:rsidRDefault="004034CC" w:rsidP="00DC5B4B"/>
    <w:p w:rsidR="00E12590" w:rsidRDefault="004034CC" w:rsidP="00DC5B4B">
      <w:r>
        <w:t xml:space="preserve">We also note that in the </w:t>
      </w:r>
      <w:r w:rsidR="00DA7BD2">
        <w:t>Bihar Round 1 report, the coverage numbers are different from the excel file</w:t>
      </w:r>
      <w:r w:rsidR="00525095">
        <w:t xml:space="preserve"> raw figures</w:t>
      </w:r>
      <w:r>
        <w:t xml:space="preserve">. This was due to the time at which the report was written and the fact that the data may not have been completely clean </w:t>
      </w:r>
      <w:r w:rsidR="008B77D3">
        <w:t xml:space="preserve">and verified </w:t>
      </w:r>
      <w:r>
        <w:t xml:space="preserve">at the time it was written. The differences, when they do exist, are relatively small. </w:t>
      </w:r>
    </w:p>
    <w:p w:rsidR="00E12590" w:rsidRDefault="00E12590" w:rsidP="00DC5B4B"/>
    <w:p w:rsidR="004034CC" w:rsidRDefault="00E12590" w:rsidP="00DC5B4B">
      <w:r>
        <w:t xml:space="preserve">In the case of Delhi Round 1, the process monitoring data is also relatively sparse. This may have been due to the fact that we used government appointed independent monitors for the purpose, or that these monitors were poorly trained and did not accurately fill in their forms. We are no longer going to be using these government appointed independent monitors in the next round of deworming. In addition, we have expended more resources to train the independent monitors more thoroughly. </w:t>
      </w:r>
      <w:r w:rsidR="00525095">
        <w:t xml:space="preserve">This evolution reflects the collective learning we all experience with each round of treatment. </w:t>
      </w:r>
    </w:p>
    <w:p w:rsidR="004034CC" w:rsidRDefault="004034CC" w:rsidP="00DC5B4B"/>
    <w:p w:rsidR="00045C6B" w:rsidRDefault="004034CC" w:rsidP="00DC5B4B">
      <w:r>
        <w:t xml:space="preserve">In addition, </w:t>
      </w:r>
      <w:r w:rsidR="00E12590">
        <w:t xml:space="preserve">as we have learned and tried to improve, </w:t>
      </w:r>
      <w:r>
        <w:t xml:space="preserve">the process monitoring forms have been continuously updated between the rounds, and sometimes </w:t>
      </w:r>
      <w:r w:rsidR="008A37F3">
        <w:t xml:space="preserve">within </w:t>
      </w:r>
      <w:r w:rsidR="002B3D9E">
        <w:t xml:space="preserve">the round itself. In the case of Bihar Round 1, the deworming was done in three phases, as they do in Kenya. The program manager at the time decided to update the forms based on observations from the first phase. </w:t>
      </w:r>
      <w:r w:rsidR="008A37F3">
        <w:t>Therefore, the forms in Phase 1</w:t>
      </w:r>
      <w:r w:rsidR="002B3D9E">
        <w:t xml:space="preserve"> are different from the forms in phases 2 and 3. </w:t>
      </w:r>
      <w:r w:rsidR="008B77D3">
        <w:t xml:space="preserve">However, the deworming in Bihar in Round 2 was done on one day (with a mop up day), and the forms that were used were consistent. </w:t>
      </w:r>
    </w:p>
    <w:p w:rsidR="00045C6B" w:rsidRDefault="00045C6B" w:rsidP="00DC5B4B"/>
    <w:p w:rsidR="005F0C7C" w:rsidRDefault="00045C6B" w:rsidP="00DC5B4B">
      <w:r>
        <w:t xml:space="preserve">Given these caveats, we believe that the data reflected in this submission are as accurate as can be. </w:t>
      </w:r>
    </w:p>
    <w:p w:rsidR="005F0C7C" w:rsidRPr="0059668E" w:rsidRDefault="005F0C7C" w:rsidP="00DC5B4B"/>
    <w:sectPr w:rsidR="005F0C7C" w:rsidRPr="0059668E" w:rsidSect="008D7779">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482" w:rsidRDefault="00405482" w:rsidP="00A147FA">
      <w:r>
        <w:separator/>
      </w:r>
    </w:p>
  </w:endnote>
  <w:endnote w:type="continuationSeparator" w:id="0">
    <w:p w:rsidR="00405482" w:rsidRDefault="00405482" w:rsidP="00A14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Prensa Book">
    <w:panose1 w:val="00000000000000000000"/>
    <w:charset w:val="00"/>
    <w:family w:val="modern"/>
    <w:notTrueType/>
    <w:pitch w:val="variable"/>
    <w:sig w:usb0="800000AF" w:usb1="5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6251950"/>
      <w:docPartObj>
        <w:docPartGallery w:val="Page Numbers (Bottom of Page)"/>
        <w:docPartUnique/>
      </w:docPartObj>
    </w:sdtPr>
    <w:sdtEndPr>
      <w:rPr>
        <w:noProof/>
      </w:rPr>
    </w:sdtEndPr>
    <w:sdtContent>
      <w:p w:rsidR="004034CC" w:rsidRDefault="00F74BF0">
        <w:pPr>
          <w:pStyle w:val="Footer"/>
          <w:jc w:val="right"/>
        </w:pPr>
        <w:r>
          <w:fldChar w:fldCharType="begin"/>
        </w:r>
        <w:r>
          <w:instrText xml:space="preserve"> PAGE   \* MERGEFORMAT </w:instrText>
        </w:r>
        <w:r>
          <w:fldChar w:fldCharType="separate"/>
        </w:r>
        <w:r w:rsidR="007C232D">
          <w:rPr>
            <w:noProof/>
          </w:rPr>
          <w:t>2</w:t>
        </w:r>
        <w:r>
          <w:rPr>
            <w:noProof/>
          </w:rPr>
          <w:fldChar w:fldCharType="end"/>
        </w:r>
      </w:p>
    </w:sdtContent>
  </w:sdt>
  <w:p w:rsidR="004034CC" w:rsidRDefault="004034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2405950"/>
      <w:docPartObj>
        <w:docPartGallery w:val="Page Numbers (Bottom of Page)"/>
        <w:docPartUnique/>
      </w:docPartObj>
    </w:sdtPr>
    <w:sdtEndPr>
      <w:rPr>
        <w:noProof/>
      </w:rPr>
    </w:sdtEndPr>
    <w:sdtContent>
      <w:p w:rsidR="004034CC" w:rsidRDefault="00F74BF0">
        <w:pPr>
          <w:pStyle w:val="Footer"/>
          <w:jc w:val="right"/>
        </w:pPr>
        <w:r>
          <w:fldChar w:fldCharType="begin"/>
        </w:r>
        <w:r>
          <w:instrText xml:space="preserve"> PAGE   \* MERGEFORMAT </w:instrText>
        </w:r>
        <w:r>
          <w:fldChar w:fldCharType="separate"/>
        </w:r>
        <w:r w:rsidR="00FA67B7">
          <w:rPr>
            <w:noProof/>
          </w:rPr>
          <w:t>1</w:t>
        </w:r>
        <w:r>
          <w:rPr>
            <w:noProof/>
          </w:rPr>
          <w:fldChar w:fldCharType="end"/>
        </w:r>
      </w:p>
    </w:sdtContent>
  </w:sdt>
  <w:p w:rsidR="004034CC" w:rsidRDefault="004034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482" w:rsidRDefault="00405482" w:rsidP="00A147FA">
      <w:r>
        <w:separator/>
      </w:r>
    </w:p>
  </w:footnote>
  <w:footnote w:type="continuationSeparator" w:id="0">
    <w:p w:rsidR="00405482" w:rsidRDefault="00405482" w:rsidP="00A147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4CC" w:rsidRDefault="004034CC" w:rsidP="00A147FA">
    <w:pPr>
      <w:pStyle w:val="Header"/>
      <w:tabs>
        <w:tab w:val="clear" w:pos="4320"/>
        <w:tab w:val="clear" w:pos="8640"/>
        <w:tab w:val="left" w:pos="702"/>
      </w:tabs>
    </w:pPr>
    <w:r>
      <w:rPr>
        <w:noProof/>
      </w:rPr>
      <w:drawing>
        <wp:anchor distT="0" distB="0" distL="114300" distR="114300" simplePos="0" relativeHeight="251660288" behindDoc="1" locked="0" layoutInCell="1" allowOverlap="1">
          <wp:simplePos x="0" y="0"/>
          <wp:positionH relativeFrom="page">
            <wp:align>center</wp:align>
          </wp:positionH>
          <wp:positionV relativeFrom="page">
            <wp:posOffset>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730_EvidenceAction_letterhead 10.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p w:rsidR="004034CC" w:rsidRDefault="004034CC" w:rsidP="00A147FA">
    <w:pPr>
      <w:pStyle w:val="Header"/>
      <w:tabs>
        <w:tab w:val="clear" w:pos="4320"/>
        <w:tab w:val="clear" w:pos="8640"/>
        <w:tab w:val="left" w:pos="702"/>
      </w:tabs>
    </w:pPr>
  </w:p>
  <w:p w:rsidR="004034CC" w:rsidRDefault="004034CC" w:rsidP="00A147FA">
    <w:pPr>
      <w:pStyle w:val="Header"/>
      <w:tabs>
        <w:tab w:val="clear" w:pos="4320"/>
        <w:tab w:val="clear" w:pos="8640"/>
        <w:tab w:val="left" w:pos="702"/>
      </w:tabs>
    </w:pPr>
  </w:p>
  <w:p w:rsidR="004034CC" w:rsidRDefault="008A37F3" w:rsidP="00A147FA">
    <w:pPr>
      <w:pStyle w:val="Header"/>
      <w:tabs>
        <w:tab w:val="clear" w:pos="4320"/>
        <w:tab w:val="clear" w:pos="8640"/>
        <w:tab w:val="left" w:pos="702"/>
      </w:tabs>
    </w:pPr>
    <w:r>
      <w:rPr>
        <w:noProof/>
      </w:rPr>
      <mc:AlternateContent>
        <mc:Choice Requires="wps">
          <w:drawing>
            <wp:anchor distT="0" distB="0" distL="114300" distR="114300" simplePos="0" relativeHeight="251659264" behindDoc="0" locked="0" layoutInCell="1" allowOverlap="1">
              <wp:simplePos x="0" y="0"/>
              <wp:positionH relativeFrom="column">
                <wp:posOffset>-913765</wp:posOffset>
              </wp:positionH>
              <wp:positionV relativeFrom="paragraph">
                <wp:posOffset>35560</wp:posOffset>
              </wp:positionV>
              <wp:extent cx="2400300" cy="8458200"/>
              <wp:effectExtent l="0" t="0" r="0" b="0"/>
              <wp:wrapSquare wrapText="bothSides"/>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0300" cy="8458200"/>
                      </a:xfrm>
                      <a:prstGeom prst="rect">
                        <a:avLst/>
                      </a:prstGeom>
                      <a:noFill/>
                      <a:ln>
                        <a:noFill/>
                      </a:ln>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71.95pt;margin-top:2.8pt;width:189pt;height:6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" filled="f" stroked="f">
              <v:path arrowok="t"/>
              <w10:wrap type="square"/>
            </v:rect>
          </w:pict>
        </mc:Fallback>
      </mc:AlternateContent>
    </w:r>
  </w:p>
  <w:p w:rsidR="004034CC" w:rsidRDefault="004034CC" w:rsidP="00A147FA">
    <w:pPr>
      <w:pStyle w:val="Header"/>
      <w:tabs>
        <w:tab w:val="clear" w:pos="4320"/>
        <w:tab w:val="clear" w:pos="8640"/>
        <w:tab w:val="left" w:pos="702"/>
      </w:tabs>
    </w:pPr>
  </w:p>
  <w:p w:rsidR="004034CC" w:rsidRDefault="004034CC" w:rsidP="00A147FA">
    <w:pPr>
      <w:pStyle w:val="Header"/>
      <w:tabs>
        <w:tab w:val="clear" w:pos="4320"/>
        <w:tab w:val="clear" w:pos="8640"/>
        <w:tab w:val="left" w:pos="702"/>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A4096"/>
    <w:multiLevelType w:val="hybridMultilevel"/>
    <w:tmpl w:val="16D437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0E76B75"/>
    <w:multiLevelType w:val="hybridMultilevel"/>
    <w:tmpl w:val="693EF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0B21D9"/>
    <w:multiLevelType w:val="hybridMultilevel"/>
    <w:tmpl w:val="77A2E362"/>
    <w:lvl w:ilvl="0" w:tplc="04090001">
      <w:start w:val="1"/>
      <w:numFmt w:val="bullet"/>
      <w:lvlText w:val=""/>
      <w:lvlJc w:val="left"/>
      <w:pPr>
        <w:ind w:left="858" w:hanging="360"/>
      </w:pPr>
      <w:rPr>
        <w:rFonts w:ascii="Symbol" w:hAnsi="Symbol" w:hint="default"/>
      </w:rPr>
    </w:lvl>
    <w:lvl w:ilvl="1" w:tplc="04090003" w:tentative="1">
      <w:start w:val="1"/>
      <w:numFmt w:val="bullet"/>
      <w:lvlText w:val="o"/>
      <w:lvlJc w:val="left"/>
      <w:pPr>
        <w:ind w:left="1578" w:hanging="360"/>
      </w:pPr>
      <w:rPr>
        <w:rFonts w:ascii="Courier New" w:hAnsi="Courier New" w:cs="Courier New" w:hint="default"/>
      </w:rPr>
    </w:lvl>
    <w:lvl w:ilvl="2" w:tplc="04090005" w:tentative="1">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abstractNum w:abstractNumId="3">
    <w:nsid w:val="6CF53DCB"/>
    <w:multiLevelType w:val="hybridMultilevel"/>
    <w:tmpl w:val="1DD85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3A0721"/>
    <w:multiLevelType w:val="hybridMultilevel"/>
    <w:tmpl w:val="4D705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7FA"/>
    <w:rsid w:val="00045C6B"/>
    <w:rsid w:val="00057574"/>
    <w:rsid w:val="0009284F"/>
    <w:rsid w:val="000A3308"/>
    <w:rsid w:val="00154934"/>
    <w:rsid w:val="00196544"/>
    <w:rsid w:val="001B2CD8"/>
    <w:rsid w:val="001F20FB"/>
    <w:rsid w:val="002605CA"/>
    <w:rsid w:val="002B3D9E"/>
    <w:rsid w:val="0031058C"/>
    <w:rsid w:val="00320245"/>
    <w:rsid w:val="00377094"/>
    <w:rsid w:val="003B3B4F"/>
    <w:rsid w:val="003B48F3"/>
    <w:rsid w:val="003D0300"/>
    <w:rsid w:val="004034CC"/>
    <w:rsid w:val="00405482"/>
    <w:rsid w:val="0041553C"/>
    <w:rsid w:val="00472742"/>
    <w:rsid w:val="004806B9"/>
    <w:rsid w:val="004A0873"/>
    <w:rsid w:val="004B0066"/>
    <w:rsid w:val="004B0E21"/>
    <w:rsid w:val="0050270A"/>
    <w:rsid w:val="00507E66"/>
    <w:rsid w:val="00525095"/>
    <w:rsid w:val="00525D17"/>
    <w:rsid w:val="005412BB"/>
    <w:rsid w:val="0059668E"/>
    <w:rsid w:val="005F0C7C"/>
    <w:rsid w:val="005F3223"/>
    <w:rsid w:val="00652269"/>
    <w:rsid w:val="006543C0"/>
    <w:rsid w:val="006777E8"/>
    <w:rsid w:val="006A635D"/>
    <w:rsid w:val="006C6BC5"/>
    <w:rsid w:val="006D1384"/>
    <w:rsid w:val="0072049E"/>
    <w:rsid w:val="007C232D"/>
    <w:rsid w:val="008A37F3"/>
    <w:rsid w:val="008B77D3"/>
    <w:rsid w:val="008D7779"/>
    <w:rsid w:val="008E1644"/>
    <w:rsid w:val="008F388C"/>
    <w:rsid w:val="00933965"/>
    <w:rsid w:val="00944DCB"/>
    <w:rsid w:val="00945964"/>
    <w:rsid w:val="00965B54"/>
    <w:rsid w:val="00970748"/>
    <w:rsid w:val="00984848"/>
    <w:rsid w:val="00987DB7"/>
    <w:rsid w:val="00A07513"/>
    <w:rsid w:val="00A147FA"/>
    <w:rsid w:val="00A2074D"/>
    <w:rsid w:val="00AC1B89"/>
    <w:rsid w:val="00AC2E5B"/>
    <w:rsid w:val="00AF73D1"/>
    <w:rsid w:val="00B96B86"/>
    <w:rsid w:val="00BC3321"/>
    <w:rsid w:val="00C11AE1"/>
    <w:rsid w:val="00C71C8C"/>
    <w:rsid w:val="00C8609A"/>
    <w:rsid w:val="00C92430"/>
    <w:rsid w:val="00DA7BD2"/>
    <w:rsid w:val="00DB4673"/>
    <w:rsid w:val="00DC5B4B"/>
    <w:rsid w:val="00E12590"/>
    <w:rsid w:val="00E20264"/>
    <w:rsid w:val="00E81DBC"/>
    <w:rsid w:val="00EB5DD8"/>
    <w:rsid w:val="00ED729A"/>
    <w:rsid w:val="00F74BF0"/>
    <w:rsid w:val="00FA67B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204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47FA"/>
    <w:pPr>
      <w:tabs>
        <w:tab w:val="center" w:pos="4320"/>
        <w:tab w:val="right" w:pos="8640"/>
      </w:tabs>
    </w:pPr>
  </w:style>
  <w:style w:type="character" w:customStyle="1" w:styleId="HeaderChar">
    <w:name w:val="Header Char"/>
    <w:basedOn w:val="DefaultParagraphFont"/>
    <w:link w:val="Header"/>
    <w:uiPriority w:val="99"/>
    <w:rsid w:val="00A147FA"/>
  </w:style>
  <w:style w:type="paragraph" w:styleId="Footer">
    <w:name w:val="footer"/>
    <w:basedOn w:val="Normal"/>
    <w:link w:val="FooterChar"/>
    <w:uiPriority w:val="99"/>
    <w:unhideWhenUsed/>
    <w:rsid w:val="00A147FA"/>
    <w:pPr>
      <w:tabs>
        <w:tab w:val="center" w:pos="4320"/>
        <w:tab w:val="right" w:pos="8640"/>
      </w:tabs>
    </w:pPr>
  </w:style>
  <w:style w:type="character" w:customStyle="1" w:styleId="FooterChar">
    <w:name w:val="Footer Char"/>
    <w:basedOn w:val="DefaultParagraphFont"/>
    <w:link w:val="Footer"/>
    <w:uiPriority w:val="99"/>
    <w:rsid w:val="00A147FA"/>
  </w:style>
  <w:style w:type="paragraph" w:styleId="BalloonText">
    <w:name w:val="Balloon Text"/>
    <w:basedOn w:val="Normal"/>
    <w:link w:val="BalloonTextChar"/>
    <w:uiPriority w:val="99"/>
    <w:semiHidden/>
    <w:unhideWhenUsed/>
    <w:rsid w:val="00A147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47FA"/>
    <w:rPr>
      <w:rFonts w:ascii="Lucida Grande" w:hAnsi="Lucida Grande" w:cs="Lucida Grande"/>
      <w:sz w:val="18"/>
      <w:szCs w:val="18"/>
    </w:rPr>
  </w:style>
  <w:style w:type="character" w:customStyle="1" w:styleId="Heading1Char">
    <w:name w:val="Heading 1 Char"/>
    <w:basedOn w:val="DefaultParagraphFont"/>
    <w:link w:val="Heading1"/>
    <w:uiPriority w:val="9"/>
    <w:rsid w:val="0072049E"/>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72049E"/>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2049E"/>
    <w:pPr>
      <w:spacing w:after="200" w:line="276" w:lineRule="auto"/>
      <w:ind w:left="720"/>
      <w:contextualSpacing/>
    </w:pPr>
    <w:rPr>
      <w:rFonts w:eastAsiaTheme="minorHAnsi"/>
      <w:sz w:val="22"/>
      <w:szCs w:val="22"/>
    </w:rPr>
  </w:style>
  <w:style w:type="paragraph" w:styleId="Title">
    <w:name w:val="Title"/>
    <w:basedOn w:val="Normal"/>
    <w:next w:val="Normal"/>
    <w:link w:val="TitleChar"/>
    <w:uiPriority w:val="10"/>
    <w:qFormat/>
    <w:rsid w:val="0072049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2049E"/>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72049E"/>
    <w:rPr>
      <w:sz w:val="16"/>
      <w:szCs w:val="16"/>
    </w:rPr>
  </w:style>
  <w:style w:type="paragraph" w:styleId="CommentText">
    <w:name w:val="annotation text"/>
    <w:basedOn w:val="Normal"/>
    <w:link w:val="CommentTextChar"/>
    <w:uiPriority w:val="99"/>
    <w:semiHidden/>
    <w:unhideWhenUsed/>
    <w:rsid w:val="0072049E"/>
    <w:pPr>
      <w:spacing w:after="200"/>
    </w:pPr>
    <w:rPr>
      <w:rFonts w:eastAsiaTheme="minorHAnsi"/>
      <w:sz w:val="20"/>
      <w:szCs w:val="20"/>
    </w:rPr>
  </w:style>
  <w:style w:type="character" w:customStyle="1" w:styleId="CommentTextChar">
    <w:name w:val="Comment Text Char"/>
    <w:basedOn w:val="DefaultParagraphFont"/>
    <w:link w:val="CommentText"/>
    <w:uiPriority w:val="99"/>
    <w:semiHidden/>
    <w:rsid w:val="0072049E"/>
    <w:rPr>
      <w:rFonts w:eastAsiaTheme="minorHAnsi"/>
      <w:sz w:val="20"/>
      <w:szCs w:val="20"/>
    </w:rPr>
  </w:style>
  <w:style w:type="character" w:customStyle="1" w:styleId="apple-converted-space">
    <w:name w:val="apple-converted-space"/>
    <w:basedOn w:val="DefaultParagraphFont"/>
    <w:rsid w:val="00BC3321"/>
  </w:style>
  <w:style w:type="paragraph" w:styleId="CommentSubject">
    <w:name w:val="annotation subject"/>
    <w:basedOn w:val="CommentText"/>
    <w:next w:val="CommentText"/>
    <w:link w:val="CommentSubjectChar"/>
    <w:uiPriority w:val="99"/>
    <w:semiHidden/>
    <w:unhideWhenUsed/>
    <w:rsid w:val="0009284F"/>
    <w:pPr>
      <w:spacing w:after="0"/>
    </w:pPr>
    <w:rPr>
      <w:rFonts w:eastAsiaTheme="minorEastAsia"/>
      <w:b/>
      <w:bCs/>
    </w:rPr>
  </w:style>
  <w:style w:type="character" w:customStyle="1" w:styleId="CommentSubjectChar">
    <w:name w:val="Comment Subject Char"/>
    <w:basedOn w:val="CommentTextChar"/>
    <w:link w:val="CommentSubject"/>
    <w:uiPriority w:val="99"/>
    <w:semiHidden/>
    <w:rsid w:val="0009284F"/>
    <w:rPr>
      <w:rFonts w:eastAsiaTheme="minorHAnsi"/>
      <w:b/>
      <w:bCs/>
      <w:sz w:val="20"/>
      <w:szCs w:val="20"/>
    </w:rPr>
  </w:style>
  <w:style w:type="table" w:styleId="LightShading">
    <w:name w:val="Light Shading"/>
    <w:basedOn w:val="TableNormal"/>
    <w:uiPriority w:val="60"/>
    <w:rsid w:val="003D030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204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47FA"/>
    <w:pPr>
      <w:tabs>
        <w:tab w:val="center" w:pos="4320"/>
        <w:tab w:val="right" w:pos="8640"/>
      </w:tabs>
    </w:pPr>
  </w:style>
  <w:style w:type="character" w:customStyle="1" w:styleId="HeaderChar">
    <w:name w:val="Header Char"/>
    <w:basedOn w:val="DefaultParagraphFont"/>
    <w:link w:val="Header"/>
    <w:uiPriority w:val="99"/>
    <w:rsid w:val="00A147FA"/>
  </w:style>
  <w:style w:type="paragraph" w:styleId="Footer">
    <w:name w:val="footer"/>
    <w:basedOn w:val="Normal"/>
    <w:link w:val="FooterChar"/>
    <w:uiPriority w:val="99"/>
    <w:unhideWhenUsed/>
    <w:rsid w:val="00A147FA"/>
    <w:pPr>
      <w:tabs>
        <w:tab w:val="center" w:pos="4320"/>
        <w:tab w:val="right" w:pos="8640"/>
      </w:tabs>
    </w:pPr>
  </w:style>
  <w:style w:type="character" w:customStyle="1" w:styleId="FooterChar">
    <w:name w:val="Footer Char"/>
    <w:basedOn w:val="DefaultParagraphFont"/>
    <w:link w:val="Footer"/>
    <w:uiPriority w:val="99"/>
    <w:rsid w:val="00A147FA"/>
  </w:style>
  <w:style w:type="paragraph" w:styleId="BalloonText">
    <w:name w:val="Balloon Text"/>
    <w:basedOn w:val="Normal"/>
    <w:link w:val="BalloonTextChar"/>
    <w:uiPriority w:val="99"/>
    <w:semiHidden/>
    <w:unhideWhenUsed/>
    <w:rsid w:val="00A147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47FA"/>
    <w:rPr>
      <w:rFonts w:ascii="Lucida Grande" w:hAnsi="Lucida Grande" w:cs="Lucida Grande"/>
      <w:sz w:val="18"/>
      <w:szCs w:val="18"/>
    </w:rPr>
  </w:style>
  <w:style w:type="character" w:customStyle="1" w:styleId="Heading1Char">
    <w:name w:val="Heading 1 Char"/>
    <w:basedOn w:val="DefaultParagraphFont"/>
    <w:link w:val="Heading1"/>
    <w:uiPriority w:val="9"/>
    <w:rsid w:val="0072049E"/>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72049E"/>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2049E"/>
    <w:pPr>
      <w:spacing w:after="200" w:line="276" w:lineRule="auto"/>
      <w:ind w:left="720"/>
      <w:contextualSpacing/>
    </w:pPr>
    <w:rPr>
      <w:rFonts w:eastAsiaTheme="minorHAnsi"/>
      <w:sz w:val="22"/>
      <w:szCs w:val="22"/>
    </w:rPr>
  </w:style>
  <w:style w:type="paragraph" w:styleId="Title">
    <w:name w:val="Title"/>
    <w:basedOn w:val="Normal"/>
    <w:next w:val="Normal"/>
    <w:link w:val="TitleChar"/>
    <w:uiPriority w:val="10"/>
    <w:qFormat/>
    <w:rsid w:val="0072049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2049E"/>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72049E"/>
    <w:rPr>
      <w:sz w:val="16"/>
      <w:szCs w:val="16"/>
    </w:rPr>
  </w:style>
  <w:style w:type="paragraph" w:styleId="CommentText">
    <w:name w:val="annotation text"/>
    <w:basedOn w:val="Normal"/>
    <w:link w:val="CommentTextChar"/>
    <w:uiPriority w:val="99"/>
    <w:semiHidden/>
    <w:unhideWhenUsed/>
    <w:rsid w:val="0072049E"/>
    <w:pPr>
      <w:spacing w:after="200"/>
    </w:pPr>
    <w:rPr>
      <w:rFonts w:eastAsiaTheme="minorHAnsi"/>
      <w:sz w:val="20"/>
      <w:szCs w:val="20"/>
    </w:rPr>
  </w:style>
  <w:style w:type="character" w:customStyle="1" w:styleId="CommentTextChar">
    <w:name w:val="Comment Text Char"/>
    <w:basedOn w:val="DefaultParagraphFont"/>
    <w:link w:val="CommentText"/>
    <w:uiPriority w:val="99"/>
    <w:semiHidden/>
    <w:rsid w:val="0072049E"/>
    <w:rPr>
      <w:rFonts w:eastAsiaTheme="minorHAnsi"/>
      <w:sz w:val="20"/>
      <w:szCs w:val="20"/>
    </w:rPr>
  </w:style>
  <w:style w:type="character" w:customStyle="1" w:styleId="apple-converted-space">
    <w:name w:val="apple-converted-space"/>
    <w:basedOn w:val="DefaultParagraphFont"/>
    <w:rsid w:val="00BC3321"/>
  </w:style>
  <w:style w:type="paragraph" w:styleId="CommentSubject">
    <w:name w:val="annotation subject"/>
    <w:basedOn w:val="CommentText"/>
    <w:next w:val="CommentText"/>
    <w:link w:val="CommentSubjectChar"/>
    <w:uiPriority w:val="99"/>
    <w:semiHidden/>
    <w:unhideWhenUsed/>
    <w:rsid w:val="0009284F"/>
    <w:pPr>
      <w:spacing w:after="0"/>
    </w:pPr>
    <w:rPr>
      <w:rFonts w:eastAsiaTheme="minorEastAsia"/>
      <w:b/>
      <w:bCs/>
    </w:rPr>
  </w:style>
  <w:style w:type="character" w:customStyle="1" w:styleId="CommentSubjectChar">
    <w:name w:val="Comment Subject Char"/>
    <w:basedOn w:val="CommentTextChar"/>
    <w:link w:val="CommentSubject"/>
    <w:uiPriority w:val="99"/>
    <w:semiHidden/>
    <w:rsid w:val="0009284F"/>
    <w:rPr>
      <w:rFonts w:eastAsiaTheme="minorHAnsi"/>
      <w:b/>
      <w:bCs/>
      <w:sz w:val="20"/>
      <w:szCs w:val="20"/>
    </w:rPr>
  </w:style>
  <w:style w:type="table" w:styleId="LightShading">
    <w:name w:val="Light Shading"/>
    <w:basedOn w:val="TableNormal"/>
    <w:uiPriority w:val="60"/>
    <w:rsid w:val="003D030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523980">
      <w:bodyDiv w:val="1"/>
      <w:marLeft w:val="0"/>
      <w:marRight w:val="0"/>
      <w:marTop w:val="0"/>
      <w:marBottom w:val="0"/>
      <w:divBdr>
        <w:top w:val="none" w:sz="0" w:space="0" w:color="auto"/>
        <w:left w:val="none" w:sz="0" w:space="0" w:color="auto"/>
        <w:bottom w:val="none" w:sz="0" w:space="0" w:color="auto"/>
        <w:right w:val="none" w:sz="0" w:space="0" w:color="auto"/>
      </w:divBdr>
    </w:div>
    <w:div w:id="667056234">
      <w:bodyDiv w:val="1"/>
      <w:marLeft w:val="0"/>
      <w:marRight w:val="0"/>
      <w:marTop w:val="0"/>
      <w:marBottom w:val="0"/>
      <w:divBdr>
        <w:top w:val="none" w:sz="0" w:space="0" w:color="auto"/>
        <w:left w:val="none" w:sz="0" w:space="0" w:color="auto"/>
        <w:bottom w:val="none" w:sz="0" w:space="0" w:color="auto"/>
        <w:right w:val="none" w:sz="0" w:space="0" w:color="auto"/>
      </w:divBdr>
      <w:divsChild>
        <w:div w:id="13838636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814139">
              <w:marLeft w:val="0"/>
              <w:marRight w:val="0"/>
              <w:marTop w:val="0"/>
              <w:marBottom w:val="0"/>
              <w:divBdr>
                <w:top w:val="none" w:sz="0" w:space="0" w:color="auto"/>
                <w:left w:val="none" w:sz="0" w:space="0" w:color="auto"/>
                <w:bottom w:val="none" w:sz="0" w:space="0" w:color="auto"/>
                <w:right w:val="none" w:sz="0" w:space="0" w:color="auto"/>
              </w:divBdr>
              <w:divsChild>
                <w:div w:id="818156886">
                  <w:marLeft w:val="0"/>
                  <w:marRight w:val="0"/>
                  <w:marTop w:val="0"/>
                  <w:marBottom w:val="0"/>
                  <w:divBdr>
                    <w:top w:val="none" w:sz="0" w:space="0" w:color="auto"/>
                    <w:left w:val="none" w:sz="0" w:space="0" w:color="auto"/>
                    <w:bottom w:val="none" w:sz="0" w:space="0" w:color="auto"/>
                    <w:right w:val="none" w:sz="0" w:space="0" w:color="auto"/>
                  </w:divBdr>
                  <w:divsChild>
                    <w:div w:id="1932086178">
                      <w:marLeft w:val="0"/>
                      <w:marRight w:val="0"/>
                      <w:marTop w:val="0"/>
                      <w:marBottom w:val="0"/>
                      <w:divBdr>
                        <w:top w:val="none" w:sz="0" w:space="0" w:color="auto"/>
                        <w:left w:val="none" w:sz="0" w:space="0" w:color="auto"/>
                        <w:bottom w:val="none" w:sz="0" w:space="0" w:color="auto"/>
                        <w:right w:val="none" w:sz="0" w:space="0" w:color="auto"/>
                      </w:divBdr>
                      <w:divsChild>
                        <w:div w:id="1899897618">
                          <w:marLeft w:val="0"/>
                          <w:marRight w:val="0"/>
                          <w:marTop w:val="0"/>
                          <w:marBottom w:val="0"/>
                          <w:divBdr>
                            <w:top w:val="none" w:sz="0" w:space="0" w:color="auto"/>
                            <w:left w:val="none" w:sz="0" w:space="0" w:color="auto"/>
                            <w:bottom w:val="none" w:sz="0" w:space="0" w:color="auto"/>
                            <w:right w:val="none" w:sz="0" w:space="0" w:color="auto"/>
                          </w:divBdr>
                          <w:divsChild>
                            <w:div w:id="2001812977">
                              <w:marLeft w:val="0"/>
                              <w:marRight w:val="0"/>
                              <w:marTop w:val="0"/>
                              <w:marBottom w:val="0"/>
                              <w:divBdr>
                                <w:top w:val="none" w:sz="0" w:space="0" w:color="auto"/>
                                <w:left w:val="none" w:sz="0" w:space="0" w:color="auto"/>
                                <w:bottom w:val="none" w:sz="0" w:space="0" w:color="auto"/>
                                <w:right w:val="none" w:sz="0" w:space="0" w:color="auto"/>
                              </w:divBdr>
                              <w:divsChild>
                                <w:div w:id="1650939476">
                                  <w:marLeft w:val="0"/>
                                  <w:marRight w:val="0"/>
                                  <w:marTop w:val="0"/>
                                  <w:marBottom w:val="0"/>
                                  <w:divBdr>
                                    <w:top w:val="none" w:sz="0" w:space="0" w:color="auto"/>
                                    <w:left w:val="none" w:sz="0" w:space="0" w:color="auto"/>
                                    <w:bottom w:val="none" w:sz="0" w:space="0" w:color="auto"/>
                                    <w:right w:val="none" w:sz="0" w:space="0" w:color="auto"/>
                                  </w:divBdr>
                                  <w:divsChild>
                                    <w:div w:id="1935088514">
                                      <w:marLeft w:val="0"/>
                                      <w:marRight w:val="0"/>
                                      <w:marTop w:val="0"/>
                                      <w:marBottom w:val="0"/>
                                      <w:divBdr>
                                        <w:top w:val="none" w:sz="0" w:space="0" w:color="auto"/>
                                        <w:left w:val="none" w:sz="0" w:space="0" w:color="auto"/>
                                        <w:bottom w:val="none" w:sz="0" w:space="0" w:color="auto"/>
                                        <w:right w:val="none" w:sz="0" w:space="0" w:color="auto"/>
                                      </w:divBdr>
                                      <w:divsChild>
                                        <w:div w:id="399794526">
                                          <w:marLeft w:val="0"/>
                                          <w:marRight w:val="0"/>
                                          <w:marTop w:val="0"/>
                                          <w:marBottom w:val="0"/>
                                          <w:divBdr>
                                            <w:top w:val="none" w:sz="0" w:space="0" w:color="auto"/>
                                            <w:left w:val="none" w:sz="0" w:space="0" w:color="auto"/>
                                            <w:bottom w:val="none" w:sz="0" w:space="0" w:color="auto"/>
                                            <w:right w:val="none" w:sz="0" w:space="0" w:color="auto"/>
                                          </w:divBdr>
                                          <w:divsChild>
                                            <w:div w:id="395082684">
                                              <w:marLeft w:val="0"/>
                                              <w:marRight w:val="0"/>
                                              <w:marTop w:val="0"/>
                                              <w:marBottom w:val="0"/>
                                              <w:divBdr>
                                                <w:top w:val="none" w:sz="0" w:space="0" w:color="auto"/>
                                                <w:left w:val="none" w:sz="0" w:space="0" w:color="auto"/>
                                                <w:bottom w:val="none" w:sz="0" w:space="0" w:color="auto"/>
                                                <w:right w:val="none" w:sz="0" w:space="0" w:color="auto"/>
                                              </w:divBdr>
                                              <w:divsChild>
                                                <w:div w:id="137161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38550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AE60D-474A-4C99-8DCE-94CEB01A4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1295</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Huang</dc:creator>
  <cp:lastModifiedBy>ghollister</cp:lastModifiedBy>
  <cp:revision>3</cp:revision>
  <dcterms:created xsi:type="dcterms:W3CDTF">2013-10-19T02:43:00Z</dcterms:created>
  <dcterms:modified xsi:type="dcterms:W3CDTF">2013-10-21T19:15:00Z</dcterms:modified>
</cp:coreProperties>
</file>