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f5d730e24ae34b20"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6B81" w14:textId="0E0A5868" w:rsidR="009666E2" w:rsidRPr="000219CE" w:rsidRDefault="001F27A9" w:rsidP="00157DC2">
      <w:pPr>
        <w:pStyle w:val="Heading1"/>
      </w:pPr>
      <w:bookmarkStart w:id="0" w:name="_Toc402340277"/>
      <w:bookmarkStart w:id="1" w:name="_Toc402343372"/>
      <w:bookmarkStart w:id="2" w:name="_Toc402346609"/>
      <w:bookmarkStart w:id="3" w:name="_Toc402349075"/>
      <w:bookmarkStart w:id="4" w:name="_Toc402350605"/>
      <w:bookmarkStart w:id="5" w:name="_Toc402353626"/>
      <w:bookmarkStart w:id="6" w:name="_Toc402368730"/>
      <w:bookmarkStart w:id="7" w:name="_Toc402369816"/>
      <w:bookmarkStart w:id="8" w:name="_Toc402370481"/>
      <w:bookmarkStart w:id="9" w:name="_Toc402371428"/>
      <w:bookmarkStart w:id="10" w:name="_GoBack"/>
      <w:bookmarkEnd w:id="10"/>
      <w:r w:rsidRPr="000219CE">
        <w:t>Australia</w:t>
      </w:r>
      <w:r w:rsidR="00E53472">
        <w:t>’</w:t>
      </w:r>
      <w:r w:rsidRPr="000219CE">
        <w:t>s tax system</w:t>
      </w:r>
      <w:bookmarkStart w:id="11" w:name="_Toc404346724"/>
      <w:bookmarkStart w:id="12" w:name="_Toc409532955"/>
      <w:bookmarkEnd w:id="0"/>
      <w:bookmarkEnd w:id="1"/>
      <w:bookmarkEnd w:id="2"/>
      <w:bookmarkEnd w:id="3"/>
      <w:bookmarkEnd w:id="4"/>
      <w:bookmarkEnd w:id="5"/>
      <w:bookmarkEnd w:id="6"/>
      <w:bookmarkEnd w:id="7"/>
      <w:bookmarkEnd w:id="8"/>
      <w:bookmarkEnd w:id="9"/>
    </w:p>
    <w:p w14:paraId="0B5D0C6D" w14:textId="050B9683" w:rsidR="00157DC2" w:rsidRPr="000219CE" w:rsidRDefault="00157DC2" w:rsidP="00E53472"/>
    <w:p w14:paraId="268DD000" w14:textId="2899E4AD" w:rsidR="00157DC2" w:rsidRPr="000219CE" w:rsidRDefault="00E50419" w:rsidP="00157DC2">
      <w:pPr>
        <w:pStyle w:val="Overviewheading"/>
        <w:numPr>
          <w:ilvl w:val="0"/>
          <w:numId w:val="0"/>
        </w:numPr>
      </w:pPr>
      <w:r w:rsidRPr="000219CE">
        <w:rPr>
          <w:noProof/>
        </w:rPr>
        <mc:AlternateContent>
          <mc:Choice Requires="wps">
            <w:drawing>
              <wp:anchor distT="0" distB="0" distL="114300" distR="114300" simplePos="0" relativeHeight="251658240" behindDoc="1" locked="0" layoutInCell="1" allowOverlap="1" wp14:anchorId="3EC28659" wp14:editId="352907D6">
                <wp:simplePos x="0" y="0"/>
                <wp:positionH relativeFrom="column">
                  <wp:posOffset>-100330</wp:posOffset>
                </wp:positionH>
                <wp:positionV relativeFrom="paragraph">
                  <wp:posOffset>505460</wp:posOffset>
                </wp:positionV>
                <wp:extent cx="5975985" cy="7248525"/>
                <wp:effectExtent l="0" t="0" r="5715" b="9525"/>
                <wp:wrapNone/>
                <wp:docPr id="3" name="Rectangle 3"/>
                <wp:cNvGraphicFramePr/>
                <a:graphic xmlns:a="http://schemas.openxmlformats.org/drawingml/2006/main">
                  <a:graphicData uri="http://schemas.microsoft.com/office/word/2010/wordprocessingShape">
                    <wps:wsp>
                      <wps:cNvSpPr/>
                      <wps:spPr>
                        <a:xfrm>
                          <a:off x="0" y="0"/>
                          <a:ext cx="5975985" cy="72485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9pt;margin-top:39.8pt;width:470.55pt;height:57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" fillcolor="#d5edf6 [660]" stroked="f" strokeweight="2pt"/>
            </w:pict>
          </mc:Fallback>
        </mc:AlternateContent>
      </w:r>
      <w:r w:rsidR="00157DC2" w:rsidRPr="000219CE">
        <w:t>Overview</w:t>
      </w:r>
    </w:p>
    <w:p w14:paraId="2971607A" w14:textId="053BD2AD" w:rsidR="00157DC2" w:rsidRPr="000219CE" w:rsidRDefault="00157DC2" w:rsidP="00157DC2">
      <w:pPr>
        <w:pStyle w:val="Overviewtext0"/>
        <w:spacing w:after="80"/>
        <w:rPr>
          <w:sz w:val="30"/>
          <w:szCs w:val="30"/>
        </w:rPr>
      </w:pPr>
      <w:r w:rsidRPr="000219CE">
        <w:rPr>
          <w:sz w:val="30"/>
          <w:szCs w:val="30"/>
        </w:rPr>
        <w:t>This chapter surveys Australia</w:t>
      </w:r>
      <w:r w:rsidR="00E53472">
        <w:rPr>
          <w:sz w:val="30"/>
          <w:szCs w:val="30"/>
        </w:rPr>
        <w:t>’</w:t>
      </w:r>
      <w:r w:rsidRPr="000219CE">
        <w:rPr>
          <w:sz w:val="30"/>
          <w:szCs w:val="30"/>
        </w:rPr>
        <w:t xml:space="preserve">s current tax system at both the </w:t>
      </w:r>
      <w:r w:rsidR="00116A5E">
        <w:rPr>
          <w:sz w:val="30"/>
          <w:szCs w:val="30"/>
        </w:rPr>
        <w:t>f</w:t>
      </w:r>
      <w:r w:rsidR="00710009" w:rsidRPr="000219CE">
        <w:rPr>
          <w:sz w:val="30"/>
          <w:szCs w:val="30"/>
        </w:rPr>
        <w:t>ederal</w:t>
      </w:r>
      <w:r w:rsidRPr="000219CE">
        <w:rPr>
          <w:sz w:val="30"/>
          <w:szCs w:val="30"/>
        </w:rPr>
        <w:t xml:space="preserve"> and state levels and how it compares internationally. It considers</w:t>
      </w:r>
      <w:r w:rsidR="00E569EB" w:rsidRPr="000219CE">
        <w:rPr>
          <w:sz w:val="30"/>
          <w:szCs w:val="30"/>
        </w:rPr>
        <w:t>:</w:t>
      </w:r>
      <w:r w:rsidRPr="000219CE">
        <w:rPr>
          <w:sz w:val="30"/>
          <w:szCs w:val="30"/>
        </w:rPr>
        <w:t xml:space="preserve"> how costs imposed by the tax system affect economic growth and living standards; the challenges of complexity; and the importance of fairness in maintaining an effective and sustainable tax system. </w:t>
      </w:r>
    </w:p>
    <w:p w14:paraId="7D8EDEF1" w14:textId="77777777" w:rsidR="00157DC2" w:rsidRPr="000219CE" w:rsidRDefault="00157DC2" w:rsidP="00157DC2">
      <w:pPr>
        <w:pStyle w:val="Overviewheading2"/>
        <w:numPr>
          <w:ilvl w:val="0"/>
          <w:numId w:val="0"/>
        </w:numPr>
      </w:pPr>
      <w:r w:rsidRPr="000219CE">
        <w:t>Key points</w:t>
      </w:r>
    </w:p>
    <w:p w14:paraId="6D0BAD59" w14:textId="77777777" w:rsidR="00157DC2" w:rsidRPr="000219CE" w:rsidRDefault="00157DC2" w:rsidP="00157DC2">
      <w:pPr>
        <w:pStyle w:val="Bullets"/>
        <w:spacing w:after="80"/>
      </w:pPr>
      <w:r w:rsidRPr="000219CE">
        <w:t>A good tax system raises the revenue needed to finance government activities without imposing unnecessary costs on the economy. Tax reform is about how revenue is raised, not just about how much.</w:t>
      </w:r>
    </w:p>
    <w:p w14:paraId="74061B73" w14:textId="26ACD1CB" w:rsidR="00157DC2" w:rsidRPr="000219CE" w:rsidRDefault="00157DC2" w:rsidP="00157DC2">
      <w:pPr>
        <w:pStyle w:val="Bullets"/>
        <w:spacing w:after="80"/>
      </w:pPr>
      <w:r w:rsidRPr="000219CE">
        <w:t>Australia</w:t>
      </w:r>
      <w:r w:rsidR="00E53472">
        <w:t>’</w:t>
      </w:r>
      <w:r w:rsidRPr="000219CE">
        <w:t xml:space="preserve">s overall tax burden is relatively low compared to other developed countries. The </w:t>
      </w:r>
      <w:r w:rsidR="00B57FC9" w:rsidRPr="000219CE">
        <w:t>Australian</w:t>
      </w:r>
      <w:r w:rsidRPr="000219CE">
        <w:t xml:space="preserve"> Government raises around 81 per cent of total tax revenue in Australia. State and </w:t>
      </w:r>
      <w:r w:rsidR="00FD6457">
        <w:t>t</w:t>
      </w:r>
      <w:r w:rsidRPr="000219CE">
        <w:t xml:space="preserve">erritory governments receive 45 per cent of their revenue through transfers from the </w:t>
      </w:r>
      <w:r w:rsidR="00B57FC9" w:rsidRPr="000219CE">
        <w:t>Australian</w:t>
      </w:r>
      <w:r w:rsidR="00186C40" w:rsidRPr="000219CE">
        <w:t xml:space="preserve"> Government</w:t>
      </w:r>
      <w:r w:rsidRPr="000219CE">
        <w:t>, including all GST revenue.</w:t>
      </w:r>
    </w:p>
    <w:p w14:paraId="29580F2D" w14:textId="46BAD153" w:rsidR="00157DC2" w:rsidRPr="000219CE" w:rsidRDefault="00157DC2" w:rsidP="00157DC2">
      <w:pPr>
        <w:pStyle w:val="Bullets"/>
        <w:spacing w:after="80"/>
      </w:pPr>
      <w:r w:rsidRPr="000219CE">
        <w:t xml:space="preserve">Australia relies heavily on income taxes, particularly company income tax, compared </w:t>
      </w:r>
      <w:r w:rsidR="00E569EB" w:rsidRPr="000219CE">
        <w:t xml:space="preserve">to </w:t>
      </w:r>
      <w:r w:rsidRPr="000219CE">
        <w:t>other developed countries as well as our Asian competitors. Australia</w:t>
      </w:r>
      <w:r w:rsidR="00E53472">
        <w:t>’</w:t>
      </w:r>
      <w:r w:rsidRPr="000219CE">
        <w:t xml:space="preserve">s reliance on income taxes remains much the same as it was in the 1950s, despite changes in the economy, and is projected to increase further, largely as a result of wages growth </w:t>
      </w:r>
      <w:r w:rsidR="00E569EB" w:rsidRPr="000219CE">
        <w:t xml:space="preserve">leading to individuals paying higher average rates of tax </w:t>
      </w:r>
      <w:r w:rsidRPr="000219CE">
        <w:t>(bracket creep).</w:t>
      </w:r>
    </w:p>
    <w:p w14:paraId="324B09B0" w14:textId="615F3BB4" w:rsidR="00157DC2" w:rsidRPr="000219CE" w:rsidRDefault="00157DC2" w:rsidP="00157DC2">
      <w:pPr>
        <w:pStyle w:val="Bullets"/>
        <w:spacing w:after="80"/>
      </w:pPr>
      <w:r w:rsidRPr="000219CE">
        <w:t xml:space="preserve">Economic modelling suggests that </w:t>
      </w:r>
      <w:r w:rsidR="0000530C">
        <w:t xml:space="preserve">the </w:t>
      </w:r>
      <w:r w:rsidRPr="000219CE">
        <w:t>taxes with particularly high costs to economic growth are company tax and stamp duties. The benefits of reducing the economic costs of taxation are spread throughout the economy, including to workers through higher wages.</w:t>
      </w:r>
    </w:p>
    <w:p w14:paraId="03BF84B3" w14:textId="1FB12725" w:rsidR="00157DC2" w:rsidRPr="000219CE" w:rsidRDefault="00157DC2" w:rsidP="00157DC2">
      <w:pPr>
        <w:pStyle w:val="Bullets"/>
        <w:spacing w:after="80"/>
      </w:pPr>
      <w:r w:rsidRPr="000219CE">
        <w:t>Complexity and compliance costs have m</w:t>
      </w:r>
      <w:r w:rsidR="00C528A1">
        <w:t>any</w:t>
      </w:r>
      <w:r w:rsidRPr="000219CE">
        <w:t xml:space="preserve"> drivers and are a growing problem in the tax system. Tax compliance costs are in the order of $40 billion per year. Approaches to tax design and governance practices will need to change if complexity in the tax system is to be reduced.</w:t>
      </w:r>
    </w:p>
    <w:p w14:paraId="79A87328" w14:textId="15989DF4" w:rsidR="00157DC2" w:rsidRPr="000219CE" w:rsidRDefault="00157DC2" w:rsidP="00157DC2">
      <w:pPr>
        <w:pStyle w:val="Bullets"/>
        <w:spacing w:after="80"/>
      </w:pPr>
      <w:r w:rsidRPr="000219CE">
        <w:t>Australia</w:t>
      </w:r>
      <w:r w:rsidR="00E53472">
        <w:t>’</w:t>
      </w:r>
      <w:r w:rsidRPr="000219CE">
        <w:t>s tax and transfer systems are highly progressive, which supports fairness. High effective tax rates, including as a result of targeting in the transfer system, can reduce participation incentives for some groups. Bracket creep exacerbates this problem.</w:t>
      </w:r>
    </w:p>
    <w:p w14:paraId="1C65F26C" w14:textId="504CED04" w:rsidR="00157DC2" w:rsidRPr="000219CE" w:rsidRDefault="00157DC2" w:rsidP="009666E2">
      <w:pPr>
        <w:pStyle w:val="Bullets"/>
        <w:spacing w:after="80"/>
      </w:pPr>
      <w:r w:rsidRPr="000219CE">
        <w:t xml:space="preserve">Tax </w:t>
      </w:r>
      <w:r w:rsidR="00E569EB" w:rsidRPr="000219CE">
        <w:t xml:space="preserve">settings for </w:t>
      </w:r>
      <w:r w:rsidRPr="000219CE">
        <w:t xml:space="preserve">savings should give people the incentive to save for their future, but differences in the taxation of alternative savings vehicles affects savings choices. </w:t>
      </w:r>
    </w:p>
    <w:p w14:paraId="3EEEBA4E" w14:textId="0E11E2F8" w:rsidR="001F27A9" w:rsidRPr="000219CE" w:rsidRDefault="007617DA" w:rsidP="00157DC2">
      <w:pPr>
        <w:pStyle w:val="Heading2"/>
      </w:pPr>
      <w:r w:rsidRPr="000219CE">
        <w:lastRenderedPageBreak/>
        <w:t xml:space="preserve">Opportunities for a </w:t>
      </w:r>
      <w:r w:rsidR="00C10FD6" w:rsidRPr="000219CE">
        <w:t>better</w:t>
      </w:r>
      <w:r w:rsidRPr="000219CE">
        <w:t xml:space="preserve"> tax system</w:t>
      </w:r>
      <w:bookmarkEnd w:id="11"/>
      <w:bookmarkEnd w:id="12"/>
      <w:r w:rsidR="00D105F9" w:rsidRPr="000219CE">
        <w:t xml:space="preserve"> to deliver taxes that are lower, simpler, fairer</w:t>
      </w:r>
    </w:p>
    <w:p w14:paraId="556AEFA5" w14:textId="7921C3DB" w:rsidR="00E569EB" w:rsidRPr="000219CE" w:rsidRDefault="008A65BE" w:rsidP="00E569EB">
      <w:r w:rsidRPr="000219CE">
        <w:t xml:space="preserve">Like any </w:t>
      </w:r>
      <w:r w:rsidR="001F27A9" w:rsidRPr="000219CE">
        <w:t xml:space="preserve">tax system, </w:t>
      </w:r>
      <w:r w:rsidRPr="000219CE">
        <w:t>Australia</w:t>
      </w:r>
      <w:r w:rsidR="00E53472">
        <w:t>’</w:t>
      </w:r>
      <w:r w:rsidRPr="000219CE">
        <w:t>s</w:t>
      </w:r>
      <w:r w:rsidR="001F27A9" w:rsidRPr="000219CE">
        <w:t xml:space="preserve"> tax system is</w:t>
      </w:r>
      <w:r w:rsidR="00F56C22" w:rsidRPr="000219CE">
        <w:t xml:space="preserve"> fundamental</w:t>
      </w:r>
      <w:r w:rsidR="001F27A9" w:rsidRPr="000219CE">
        <w:t xml:space="preserve"> to rais</w:t>
      </w:r>
      <w:r w:rsidR="00F56C22" w:rsidRPr="000219CE">
        <w:t>ing</w:t>
      </w:r>
      <w:r w:rsidR="001F27A9" w:rsidRPr="000219CE">
        <w:t xml:space="preserve"> the revenue </w:t>
      </w:r>
      <w:r w:rsidRPr="000219CE">
        <w:t>that</w:t>
      </w:r>
      <w:r w:rsidR="00486BB0" w:rsidRPr="000219CE">
        <w:t xml:space="preserve"> finance</w:t>
      </w:r>
      <w:r w:rsidRPr="000219CE">
        <w:t>s</w:t>
      </w:r>
      <w:r w:rsidR="00486BB0" w:rsidRPr="000219CE">
        <w:t xml:space="preserve"> the</w:t>
      </w:r>
      <w:r w:rsidR="001F27A9" w:rsidRPr="000219CE">
        <w:t xml:space="preserve"> activities of government at the </w:t>
      </w:r>
      <w:r w:rsidR="00B57FC9" w:rsidRPr="000219CE">
        <w:t xml:space="preserve">Australian Government </w:t>
      </w:r>
      <w:r w:rsidR="001F27A9" w:rsidRPr="000219CE">
        <w:t xml:space="preserve">and </w:t>
      </w:r>
      <w:r w:rsidR="0000530C">
        <w:t>s</w:t>
      </w:r>
      <w:r w:rsidR="001F27A9" w:rsidRPr="000219CE">
        <w:t xml:space="preserve">tate and </w:t>
      </w:r>
      <w:r w:rsidR="0000530C">
        <w:t>t</w:t>
      </w:r>
      <w:r w:rsidR="001F27A9" w:rsidRPr="000219CE">
        <w:t xml:space="preserve">erritory </w:t>
      </w:r>
      <w:r w:rsidR="00B57FC9" w:rsidRPr="000219CE">
        <w:t xml:space="preserve">government </w:t>
      </w:r>
      <w:r w:rsidR="001F27A9" w:rsidRPr="000219CE">
        <w:t xml:space="preserve">levels. These activities include important public services </w:t>
      </w:r>
      <w:r w:rsidRPr="000219CE">
        <w:t>like</w:t>
      </w:r>
      <w:r w:rsidR="001F27A9" w:rsidRPr="000219CE">
        <w:t xml:space="preserve"> health, education, infrastructure and national defence, as well as the social safety net that supports </w:t>
      </w:r>
      <w:r w:rsidRPr="000219CE">
        <w:t xml:space="preserve">our </w:t>
      </w:r>
      <w:proofErr w:type="gramStart"/>
      <w:r w:rsidRPr="000219CE">
        <w:t>society</w:t>
      </w:r>
      <w:r w:rsidR="00E53472">
        <w:t>’</w:t>
      </w:r>
      <w:r w:rsidRPr="000219CE">
        <w:t>s</w:t>
      </w:r>
      <w:proofErr w:type="gramEnd"/>
      <w:r w:rsidRPr="000219CE">
        <w:t xml:space="preserve"> </w:t>
      </w:r>
      <w:r w:rsidR="001F27A9" w:rsidRPr="000219CE">
        <w:t>most vulnerable.</w:t>
      </w:r>
      <w:r w:rsidR="00E569EB" w:rsidRPr="000219CE">
        <w:t xml:space="preserve"> </w:t>
      </w:r>
    </w:p>
    <w:p w14:paraId="5529C781" w14:textId="205E3658" w:rsidR="00E569EB" w:rsidRPr="000219CE" w:rsidRDefault="007617DA" w:rsidP="00E569EB">
      <w:r w:rsidRPr="000219CE">
        <w:t>A good tax system achieves this purpose without imposing unnecessary costs on the economy.</w:t>
      </w:r>
      <w:r w:rsidR="00F150B4" w:rsidRPr="000219CE">
        <w:t xml:space="preserve"> For this reason, tax reform is not</w:t>
      </w:r>
      <w:r w:rsidR="008D2B35" w:rsidRPr="000219CE">
        <w:t xml:space="preserve"> just</w:t>
      </w:r>
      <w:r w:rsidR="00F150B4" w:rsidRPr="000219CE">
        <w:t xml:space="preserve"> about how mu</w:t>
      </w:r>
      <w:r w:rsidR="0009347A">
        <w:t>ch revenue is raised but how it </w:t>
      </w:r>
      <w:r w:rsidR="00F150B4" w:rsidRPr="000219CE">
        <w:t>is raised.</w:t>
      </w:r>
      <w:r w:rsidR="00174F9E" w:rsidRPr="000219CE">
        <w:t xml:space="preserve"> This </w:t>
      </w:r>
      <w:r w:rsidR="00D81A1C" w:rsidRPr="000219CE">
        <w:t>includes</w:t>
      </w:r>
      <w:r w:rsidR="00174F9E" w:rsidRPr="000219CE">
        <w:t xml:space="preserve"> appropriately balancing the principles of fairness, efficiency and simplicity (B</w:t>
      </w:r>
      <w:r w:rsidR="00726625" w:rsidRPr="000219CE">
        <w:t>ox 2.1</w:t>
      </w:r>
      <w:r w:rsidR="00D401B0" w:rsidRPr="000219CE">
        <w:t>)</w:t>
      </w:r>
      <w:r w:rsidR="00174F9E" w:rsidRPr="000219CE">
        <w:t>.</w:t>
      </w:r>
    </w:p>
    <w:p w14:paraId="025CC26B" w14:textId="4C795C28" w:rsidR="00F150B4" w:rsidRPr="000219CE" w:rsidRDefault="00F150B4" w:rsidP="00E569EB">
      <w:r w:rsidRPr="000219CE">
        <w:t xml:space="preserve">While </w:t>
      </w:r>
      <w:r w:rsidR="00950DDA" w:rsidRPr="000219CE">
        <w:t>Australia</w:t>
      </w:r>
      <w:r w:rsidR="00E53472">
        <w:t>’</w:t>
      </w:r>
      <w:r w:rsidR="00950DDA" w:rsidRPr="000219CE">
        <w:t xml:space="preserve">s </w:t>
      </w:r>
      <w:r w:rsidRPr="000219CE">
        <w:t xml:space="preserve">tax system has served </w:t>
      </w:r>
      <w:r w:rsidR="0052303A" w:rsidRPr="000219CE">
        <w:t xml:space="preserve">the nation </w:t>
      </w:r>
      <w:r w:rsidRPr="000219CE">
        <w:t xml:space="preserve">well over </w:t>
      </w:r>
      <w:r w:rsidR="008A65BE" w:rsidRPr="000219CE">
        <w:t xml:space="preserve">the </w:t>
      </w:r>
      <w:r w:rsidRPr="000219CE">
        <w:t>decades,</w:t>
      </w:r>
      <w:r w:rsidR="00861C54" w:rsidRPr="000219CE">
        <w:t xml:space="preserve"> </w:t>
      </w:r>
      <w:r w:rsidRPr="000219CE">
        <w:t xml:space="preserve">it is </w:t>
      </w:r>
      <w:r w:rsidR="00B616E8" w:rsidRPr="000219CE">
        <w:t>increasingly outdated</w:t>
      </w:r>
      <w:r w:rsidRPr="000219CE">
        <w:t xml:space="preserve">. The changing global environment, costs associated with complexity </w:t>
      </w:r>
      <w:r w:rsidR="0000530C">
        <w:t xml:space="preserve">and </w:t>
      </w:r>
      <w:r w:rsidRPr="000219CE">
        <w:t>the need to raise revenue to fund the activities of government in a more efficient and fair way</w:t>
      </w:r>
      <w:r w:rsidR="00A53D9D">
        <w:t xml:space="preserve"> mean</w:t>
      </w:r>
      <w:r w:rsidRPr="000219CE">
        <w:t xml:space="preserve"> the tax system is under increasing strain.</w:t>
      </w:r>
    </w:p>
    <w:p w14:paraId="57D5739C" w14:textId="12E500A8" w:rsidR="00FE171A" w:rsidRPr="000219CE" w:rsidRDefault="007617DA" w:rsidP="001F27A9">
      <w:r w:rsidRPr="000219CE">
        <w:t>There are opportunities to make</w:t>
      </w:r>
      <w:r w:rsidR="00F56C22" w:rsidRPr="000219CE">
        <w:t xml:space="preserve"> </w:t>
      </w:r>
      <w:r w:rsidR="00D105F9" w:rsidRPr="000219CE">
        <w:t xml:space="preserve">a </w:t>
      </w:r>
      <w:r w:rsidR="00C10FD6" w:rsidRPr="000219CE">
        <w:t>better</w:t>
      </w:r>
      <w:r w:rsidR="00D105F9" w:rsidRPr="000219CE">
        <w:t xml:space="preserve"> tax system to deliver taxes that are lower</w:t>
      </w:r>
      <w:r w:rsidR="00C10FD6" w:rsidRPr="000219CE">
        <w:t xml:space="preserve">, </w:t>
      </w:r>
      <w:r w:rsidRPr="000219CE">
        <w:t>simpler</w:t>
      </w:r>
      <w:r w:rsidR="00D105F9" w:rsidRPr="000219CE">
        <w:t>,</w:t>
      </w:r>
      <w:r w:rsidR="00C10FD6" w:rsidRPr="000219CE">
        <w:t xml:space="preserve"> </w:t>
      </w:r>
      <w:proofErr w:type="gramStart"/>
      <w:r w:rsidRPr="000219CE">
        <w:t>fairer</w:t>
      </w:r>
      <w:proofErr w:type="gramEnd"/>
      <w:r w:rsidR="00D105F9" w:rsidRPr="000219CE">
        <w:t>.</w:t>
      </w:r>
      <w:r w:rsidRPr="000219CE">
        <w:t xml:space="preserve"> </w:t>
      </w:r>
      <w:r w:rsidR="00D105F9" w:rsidRPr="000219CE">
        <w:t xml:space="preserve">This will </w:t>
      </w:r>
      <w:r w:rsidRPr="000219CE">
        <w:t>help to raise</w:t>
      </w:r>
      <w:r w:rsidR="00916683" w:rsidRPr="000219CE">
        <w:t xml:space="preserve">, </w:t>
      </w:r>
      <w:r w:rsidR="00D3348D" w:rsidRPr="000219CE">
        <w:t xml:space="preserve">rather </w:t>
      </w:r>
      <w:r w:rsidRPr="000219CE">
        <w:t>than hold back</w:t>
      </w:r>
      <w:r w:rsidR="00950DDA" w:rsidRPr="000219CE">
        <w:t>,</w:t>
      </w:r>
      <w:r w:rsidRPr="000219CE">
        <w:t xml:space="preserve"> Australian living standards.</w:t>
      </w:r>
      <w:r w:rsidR="00B3560D" w:rsidRPr="000219CE">
        <w:t xml:space="preserve"> </w:t>
      </w:r>
    </w:p>
    <w:tbl>
      <w:tblPr>
        <w:tblStyle w:val="TableGrid"/>
        <w:tblW w:w="0" w:type="auto"/>
        <w:shd w:val="clear" w:color="auto" w:fill="EBEAEA" w:themeFill="accent6" w:themeFillTint="33"/>
        <w:tblCellMar>
          <w:top w:w="170" w:type="dxa"/>
          <w:left w:w="170" w:type="dxa"/>
          <w:bottom w:w="170" w:type="dxa"/>
          <w:right w:w="198" w:type="dxa"/>
        </w:tblCellMar>
        <w:tblLook w:val="04A0" w:firstRow="1" w:lastRow="0" w:firstColumn="1" w:lastColumn="0" w:noHBand="0" w:noVBand="1"/>
      </w:tblPr>
      <w:tblGrid>
        <w:gridCol w:w="9384"/>
      </w:tblGrid>
      <w:tr w:rsidR="00157DC2" w:rsidRPr="000219CE" w14:paraId="08A68D06" w14:textId="77777777" w:rsidTr="00B615E9">
        <w:tc>
          <w:tcPr>
            <w:tcW w:w="9384" w:type="dxa"/>
            <w:tcBorders>
              <w:top w:val="nil"/>
              <w:left w:val="nil"/>
              <w:bottom w:val="nil"/>
              <w:right w:val="nil"/>
            </w:tcBorders>
            <w:shd w:val="clear" w:color="auto" w:fill="EBEAEA" w:themeFill="accent6" w:themeFillTint="33"/>
          </w:tcPr>
          <w:p w14:paraId="610D6229" w14:textId="7466F639" w:rsidR="00157DC2" w:rsidRPr="000219CE" w:rsidRDefault="00157DC2" w:rsidP="00157DC2">
            <w:pPr>
              <w:pStyle w:val="BoxHeading"/>
            </w:pPr>
            <w:r w:rsidRPr="000219CE">
              <w:t xml:space="preserve">Box </w:t>
            </w:r>
            <w:fldSimple w:instr=" STYLEREF 1 \s ">
              <w:r w:rsidR="0068169D">
                <w:rPr>
                  <w:noProof/>
                </w:rPr>
                <w:t>2</w:t>
              </w:r>
            </w:fldSimple>
            <w:r w:rsidRPr="000219CE">
              <w:t>.</w:t>
            </w:r>
            <w:fldSimple w:instr=" SEQ Box \* ARABIC \s 1 ">
              <w:r w:rsidR="0068169D">
                <w:rPr>
                  <w:noProof/>
                </w:rPr>
                <w:t>1</w:t>
              </w:r>
            </w:fldSimple>
            <w:r w:rsidRPr="000219CE">
              <w:t>: Principles for tax systems</w:t>
            </w:r>
          </w:p>
          <w:p w14:paraId="7E77CC11" w14:textId="0DA86C7A" w:rsidR="00157DC2" w:rsidRPr="000219CE" w:rsidRDefault="00157DC2" w:rsidP="00157DC2">
            <w:pPr>
              <w:pStyle w:val="BoxText"/>
            </w:pPr>
            <w:r w:rsidRPr="000219CE">
              <w:t>It is accepted that a well</w:t>
            </w:r>
            <w:r w:rsidR="00E53472">
              <w:noBreakHyphen/>
            </w:r>
            <w:r w:rsidRPr="000219CE">
              <w:t>designed tax system will meet its revenue raising objective, w</w:t>
            </w:r>
            <w:r w:rsidR="009D0589">
              <w:t xml:space="preserve">hile </w:t>
            </w:r>
            <w:r w:rsidRPr="000219CE">
              <w:t>balancing the core principles of equity, efficiency and simplicity:</w:t>
            </w:r>
          </w:p>
          <w:p w14:paraId="54DC97E5" w14:textId="63666656" w:rsidR="00157DC2" w:rsidRPr="000219CE" w:rsidRDefault="00585EF7" w:rsidP="009D0589">
            <w:pPr>
              <w:pStyle w:val="BoxBullet"/>
            </w:pPr>
            <w:r w:rsidRPr="009D0589">
              <w:rPr>
                <w:i/>
              </w:rPr>
              <w:t>e</w:t>
            </w:r>
            <w:r w:rsidR="00157DC2" w:rsidRPr="009D0589">
              <w:rPr>
                <w:i/>
              </w:rPr>
              <w:t>quity</w:t>
            </w:r>
            <w:r w:rsidR="00157DC2" w:rsidRPr="000219CE">
              <w:t xml:space="preserve"> — fairness in the distribution of the tax burden;</w:t>
            </w:r>
          </w:p>
          <w:p w14:paraId="2DBBFF70" w14:textId="777FBAB2" w:rsidR="00157DC2" w:rsidRPr="000219CE" w:rsidRDefault="00585EF7" w:rsidP="009D0589">
            <w:pPr>
              <w:pStyle w:val="BoxBullet"/>
            </w:pPr>
            <w:r>
              <w:rPr>
                <w:i/>
              </w:rPr>
              <w:t>e</w:t>
            </w:r>
            <w:r w:rsidR="00157DC2" w:rsidRPr="000219CE">
              <w:rPr>
                <w:i/>
              </w:rPr>
              <w:t>fficiency</w:t>
            </w:r>
            <w:r w:rsidR="00157DC2" w:rsidRPr="000219CE">
              <w:t xml:space="preserve"> — economy in tax collection so as to have the lowest possible cost over and above the revenue that is raised; and</w:t>
            </w:r>
          </w:p>
          <w:p w14:paraId="20433DF6" w14:textId="34AFD49E" w:rsidR="00157DC2" w:rsidRPr="000219CE" w:rsidRDefault="00585EF7" w:rsidP="009D0589">
            <w:pPr>
              <w:pStyle w:val="BoxBullet"/>
            </w:pPr>
            <w:proofErr w:type="gramStart"/>
            <w:r>
              <w:rPr>
                <w:i/>
              </w:rPr>
              <w:t>s</w:t>
            </w:r>
            <w:r w:rsidR="00157DC2" w:rsidRPr="000219CE">
              <w:rPr>
                <w:i/>
              </w:rPr>
              <w:t>implicity</w:t>
            </w:r>
            <w:proofErr w:type="gramEnd"/>
            <w:r w:rsidR="00157DC2" w:rsidRPr="000219CE">
              <w:t xml:space="preserve"> — the tax system should be easy to understand and simple to comply with.</w:t>
            </w:r>
            <w:r w:rsidR="00157DC2" w:rsidRPr="000219CE">
              <w:rPr>
                <w:rStyle w:val="FootnoteReference"/>
              </w:rPr>
              <w:footnoteReference w:id="2"/>
            </w:r>
            <w:r w:rsidR="00157DC2" w:rsidRPr="000219CE">
              <w:t xml:space="preserve"> </w:t>
            </w:r>
          </w:p>
          <w:p w14:paraId="19A922BE" w14:textId="05E81A4C" w:rsidR="00157DC2" w:rsidRPr="000219CE" w:rsidRDefault="00157DC2" w:rsidP="00B615E9">
            <w:pPr>
              <w:pStyle w:val="BoxText"/>
            </w:pPr>
            <w:r w:rsidRPr="000219CE">
              <w:t xml:space="preserve">Other principles could usefully be added to this list. For example, the </w:t>
            </w:r>
            <w:r w:rsidR="00E93739" w:rsidRPr="000219CE">
              <w:t xml:space="preserve">UK </w:t>
            </w:r>
            <w:r w:rsidRPr="000219CE">
              <w:t>House of Commons Treasury Committee</w:t>
            </w:r>
            <w:r w:rsidR="00E53472">
              <w:t>’</w:t>
            </w:r>
            <w:r w:rsidRPr="000219CE">
              <w:t xml:space="preserve">s </w:t>
            </w:r>
            <w:r w:rsidRPr="000219CE">
              <w:rPr>
                <w:i/>
              </w:rPr>
              <w:t>Principles of tax policy</w:t>
            </w:r>
            <w:r w:rsidRPr="000219CE">
              <w:t xml:space="preserve"> added procedural principles to this list.</w:t>
            </w:r>
            <w:r w:rsidRPr="000219CE">
              <w:rPr>
                <w:rStyle w:val="FootnoteReference"/>
              </w:rPr>
              <w:footnoteReference w:id="3"/>
            </w:r>
            <w:r w:rsidRPr="000219CE">
              <w:t xml:space="preserve"> These include certainty, stability and proper consultation and review. The Henry tax review emphasised the importance of sustainability, where this is the ability to meet the changi</w:t>
            </w:r>
            <w:r w:rsidR="00A53D9D">
              <w:t>ng revenue needs of governments,</w:t>
            </w:r>
            <w:r w:rsidRPr="000219CE">
              <w:t xml:space="preserve"> and consistency across tax laws and treatments.</w:t>
            </w:r>
            <w:r w:rsidRPr="000219CE">
              <w:rPr>
                <w:rStyle w:val="FootnoteReference"/>
              </w:rPr>
              <w:footnoteReference w:id="4"/>
            </w:r>
          </w:p>
        </w:tc>
      </w:tr>
    </w:tbl>
    <w:p w14:paraId="01E05B3E" w14:textId="77777777" w:rsidR="00157DC2" w:rsidRPr="000219CE" w:rsidRDefault="00157DC2" w:rsidP="009D0589">
      <w:pPr>
        <w:pStyle w:val="Singleparagraph0"/>
      </w:pPr>
    </w:p>
    <w:p w14:paraId="02A0DCD5" w14:textId="2263558B" w:rsidR="007617DA" w:rsidRPr="000219CE" w:rsidRDefault="007617DA" w:rsidP="001F27A9"/>
    <w:p w14:paraId="2D59293F" w14:textId="6D29E5D2" w:rsidR="00F025DC" w:rsidRPr="000219CE" w:rsidRDefault="00F025DC" w:rsidP="00157DC2">
      <w:pPr>
        <w:pStyle w:val="Heading2"/>
      </w:pPr>
      <w:bookmarkStart w:id="13" w:name="_Toc404346725"/>
      <w:bookmarkStart w:id="14" w:name="_Toc409532956"/>
      <w:bookmarkStart w:id="15" w:name="_Toc402326851"/>
      <w:bookmarkStart w:id="16" w:name="_Toc402333503"/>
      <w:bookmarkStart w:id="17" w:name="_Toc402340279"/>
      <w:bookmarkStart w:id="18" w:name="_Toc402343374"/>
      <w:r w:rsidRPr="000219CE">
        <w:lastRenderedPageBreak/>
        <w:t>Australia</w:t>
      </w:r>
      <w:r w:rsidR="00E53472">
        <w:t>’</w:t>
      </w:r>
      <w:r w:rsidRPr="000219CE">
        <w:t>s current tax system</w:t>
      </w:r>
      <w:bookmarkEnd w:id="13"/>
      <w:bookmarkEnd w:id="14"/>
    </w:p>
    <w:p w14:paraId="068508C3" w14:textId="7BC7ADBB" w:rsidR="001F27A9" w:rsidRPr="000219CE" w:rsidRDefault="00A7602F" w:rsidP="00F37E7D">
      <w:pPr>
        <w:pStyle w:val="Heading3"/>
      </w:pPr>
      <w:bookmarkStart w:id="19" w:name="_Toc404346726"/>
      <w:bookmarkStart w:id="20" w:name="_Toc409532957"/>
      <w:r w:rsidRPr="000219CE">
        <w:t xml:space="preserve">Like many other countries with a federal system, </w:t>
      </w:r>
      <w:r w:rsidR="00287164" w:rsidRPr="000219CE">
        <w:t xml:space="preserve">the </w:t>
      </w:r>
      <w:r w:rsidR="00B57FC9" w:rsidRPr="000219CE">
        <w:t>Australian</w:t>
      </w:r>
      <w:r w:rsidR="00287164" w:rsidRPr="000219CE">
        <w:t xml:space="preserve"> G</w:t>
      </w:r>
      <w:r w:rsidRPr="000219CE">
        <w:t>overnment raises the majority of revenue</w:t>
      </w:r>
      <w:bookmarkEnd w:id="19"/>
      <w:bookmarkEnd w:id="20"/>
    </w:p>
    <w:bookmarkEnd w:id="15"/>
    <w:bookmarkEnd w:id="16"/>
    <w:bookmarkEnd w:id="17"/>
    <w:bookmarkEnd w:id="18"/>
    <w:p w14:paraId="38ADE15B" w14:textId="26D9E12D" w:rsidR="001F27A9" w:rsidRPr="000219CE" w:rsidRDefault="001F27A9" w:rsidP="001F27A9">
      <w:r w:rsidRPr="000219CE">
        <w:t xml:space="preserve">Both </w:t>
      </w:r>
      <w:r w:rsidR="00AD1333" w:rsidRPr="000219CE">
        <w:t xml:space="preserve">the </w:t>
      </w:r>
      <w:r w:rsidR="00B57FC9" w:rsidRPr="000219CE">
        <w:t>Australian Government</w:t>
      </w:r>
      <w:r w:rsidR="00AD1333" w:rsidRPr="000219CE">
        <w:t xml:space="preserve"> and </w:t>
      </w:r>
      <w:r w:rsidR="0000530C">
        <w:t>s</w:t>
      </w:r>
      <w:r w:rsidR="00AD1333" w:rsidRPr="000219CE">
        <w:t xml:space="preserve">tate and </w:t>
      </w:r>
      <w:r w:rsidR="0000530C">
        <w:t>t</w:t>
      </w:r>
      <w:r w:rsidR="00AD1333" w:rsidRPr="000219CE">
        <w:t>erritory</w:t>
      </w:r>
      <w:r w:rsidRPr="000219CE">
        <w:t xml:space="preserve"> </w:t>
      </w:r>
      <w:r w:rsidR="00D3348D" w:rsidRPr="000219CE">
        <w:t>g</w:t>
      </w:r>
      <w:r w:rsidRPr="000219CE">
        <w:t>overnment</w:t>
      </w:r>
      <w:r w:rsidR="00950DDA" w:rsidRPr="000219CE">
        <w:t>s</w:t>
      </w:r>
      <w:r w:rsidR="00FF7423" w:rsidRPr="000219CE">
        <w:t xml:space="preserve"> (including local governments)</w:t>
      </w:r>
      <w:r w:rsidRPr="000219CE">
        <w:t xml:space="preserve"> have responsibility</w:t>
      </w:r>
      <w:r w:rsidR="00314CD8" w:rsidRPr="000219CE">
        <w:t xml:space="preserve"> for </w:t>
      </w:r>
      <w:r w:rsidR="00F60077" w:rsidRPr="000219CE">
        <w:t xml:space="preserve">raising </w:t>
      </w:r>
      <w:r w:rsidR="00314CD8" w:rsidRPr="000219CE">
        <w:t>revenue</w:t>
      </w:r>
      <w:r w:rsidR="006A38A3" w:rsidRPr="000219CE">
        <w:t xml:space="preserve"> </w:t>
      </w:r>
      <w:r w:rsidR="00AD1333" w:rsidRPr="000219CE">
        <w:t>in Australia</w:t>
      </w:r>
      <w:r w:rsidR="0003520E" w:rsidRPr="000219CE">
        <w:t>,</w:t>
      </w:r>
      <w:r w:rsidR="00AD1333" w:rsidRPr="000219CE">
        <w:t xml:space="preserve"> </w:t>
      </w:r>
      <w:r w:rsidR="00D3348D" w:rsidRPr="000219CE">
        <w:t xml:space="preserve">by means of </w:t>
      </w:r>
      <w:r w:rsidR="009D0589">
        <w:t>their control of </w:t>
      </w:r>
      <w:r w:rsidR="00AF6776" w:rsidRPr="000219CE">
        <w:t>particular</w:t>
      </w:r>
      <w:r w:rsidR="003A5CDC" w:rsidRPr="000219CE">
        <w:t xml:space="preserve"> tax base</w:t>
      </w:r>
      <w:r w:rsidR="00AF6776" w:rsidRPr="000219CE">
        <w:t>s</w:t>
      </w:r>
      <w:r w:rsidR="00AC472D" w:rsidRPr="000219CE">
        <w:t xml:space="preserve">. </w:t>
      </w:r>
    </w:p>
    <w:p w14:paraId="4C4FF377" w14:textId="14290A67" w:rsidR="000B0862" w:rsidRPr="000219CE" w:rsidRDefault="007368F5" w:rsidP="001F27A9">
      <w:r w:rsidRPr="000219CE">
        <w:t>While Australian tax revenue is drawn from more than 100 different taxes, most revenue is collected from</w:t>
      </w:r>
      <w:r w:rsidR="002917CC" w:rsidRPr="000219CE">
        <w:t xml:space="preserve"> just</w:t>
      </w:r>
      <w:r w:rsidRPr="000219CE">
        <w:t xml:space="preserve"> a few taxes.</w:t>
      </w:r>
      <w:r w:rsidRPr="000219CE">
        <w:rPr>
          <w:rStyle w:val="FootnoteReference"/>
        </w:rPr>
        <w:footnoteReference w:id="5"/>
      </w:r>
      <w:r w:rsidRPr="000219CE">
        <w:t xml:space="preserve"> </w:t>
      </w:r>
      <w:r w:rsidR="0073412E" w:rsidRPr="000219CE">
        <w:t>In 2012</w:t>
      </w:r>
      <w:r w:rsidR="00E53472">
        <w:noBreakHyphen/>
      </w:r>
      <w:r w:rsidR="0073412E" w:rsidRPr="000219CE">
        <w:t>13, t</w:t>
      </w:r>
      <w:r w:rsidR="001F27A9" w:rsidRPr="000219CE">
        <w:t xml:space="preserve">he </w:t>
      </w:r>
      <w:r w:rsidR="0000530C">
        <w:t>federal</w:t>
      </w:r>
      <w:r w:rsidR="00333170" w:rsidRPr="000219CE">
        <w:t xml:space="preserve"> Government</w:t>
      </w:r>
      <w:r w:rsidR="001F27A9" w:rsidRPr="000219CE">
        <w:t xml:space="preserve"> </w:t>
      </w:r>
      <w:r w:rsidR="00987915" w:rsidRPr="000219CE">
        <w:t>collecte</w:t>
      </w:r>
      <w:r w:rsidR="000B0862" w:rsidRPr="000219CE">
        <w:t>d</w:t>
      </w:r>
      <w:r w:rsidR="001F27A9" w:rsidRPr="000219CE">
        <w:t xml:space="preserve"> </w:t>
      </w:r>
      <w:r w:rsidR="00E617F5" w:rsidRPr="000219CE">
        <w:t>around</w:t>
      </w:r>
      <w:r w:rsidR="001F27A9" w:rsidRPr="000219CE">
        <w:t xml:space="preserve"> </w:t>
      </w:r>
      <w:r w:rsidR="00746158" w:rsidRPr="000219CE">
        <w:t>81</w:t>
      </w:r>
      <w:r w:rsidR="000F4133">
        <w:t> per </w:t>
      </w:r>
      <w:r w:rsidR="001F27A9" w:rsidRPr="000219CE">
        <w:t>cent of tax revenue in Austr</w:t>
      </w:r>
      <w:r w:rsidR="00D401B0" w:rsidRPr="000219CE">
        <w:t>alia, mainly from income taxes levied on individuals and corporates</w:t>
      </w:r>
      <w:r w:rsidR="00E26AB8" w:rsidRPr="000219CE">
        <w:t xml:space="preserve"> (Chart </w:t>
      </w:r>
      <w:r w:rsidR="00726625" w:rsidRPr="000219CE">
        <w:t>2</w:t>
      </w:r>
      <w:r w:rsidR="00E36AF1" w:rsidRPr="000219CE">
        <w:t>.</w:t>
      </w:r>
      <w:r w:rsidR="00E26AB8" w:rsidRPr="000219CE">
        <w:t>1)</w:t>
      </w:r>
      <w:r w:rsidR="001F27A9" w:rsidRPr="000219CE">
        <w:t xml:space="preserve">. State and </w:t>
      </w:r>
      <w:r w:rsidR="00291120">
        <w:t>t</w:t>
      </w:r>
      <w:r w:rsidR="001F27A9" w:rsidRPr="000219CE">
        <w:t xml:space="preserve">erritory governments </w:t>
      </w:r>
      <w:r w:rsidR="00987915" w:rsidRPr="000219CE">
        <w:t>collected</w:t>
      </w:r>
      <w:r w:rsidR="0073412E" w:rsidRPr="000219CE">
        <w:t xml:space="preserve"> </w:t>
      </w:r>
      <w:r w:rsidR="00E617F5" w:rsidRPr="000219CE">
        <w:t>around 15</w:t>
      </w:r>
      <w:r w:rsidR="00605433" w:rsidRPr="000219CE">
        <w:t> </w:t>
      </w:r>
      <w:r w:rsidR="00987915" w:rsidRPr="000219CE">
        <w:t xml:space="preserve">per cent of tax revenue, largely through payroll taxes and property taxes (especially stamp duties). </w:t>
      </w:r>
      <w:r w:rsidR="00EC3CB5" w:rsidRPr="000219CE">
        <w:t>L</w:t>
      </w:r>
      <w:r w:rsidR="00987915" w:rsidRPr="000219CE">
        <w:t xml:space="preserve">ocal governments collected </w:t>
      </w:r>
      <w:r w:rsidR="00E617F5" w:rsidRPr="000219CE">
        <w:t xml:space="preserve">around </w:t>
      </w:r>
      <w:r w:rsidR="00556633">
        <w:t>3</w:t>
      </w:r>
      <w:r w:rsidR="00987915" w:rsidRPr="000219CE">
        <w:t xml:space="preserve"> per cent of tax revenue through municipal rates</w:t>
      </w:r>
      <w:r w:rsidR="0073412E" w:rsidRPr="000219CE">
        <w:t>.</w:t>
      </w:r>
      <w:r w:rsidR="00987915" w:rsidRPr="000219CE">
        <w:t xml:space="preserve"> The tax rates, thresholds and exemptions for </w:t>
      </w:r>
      <w:r w:rsidR="00291120">
        <w:t>s</w:t>
      </w:r>
      <w:r w:rsidR="00987915" w:rsidRPr="000219CE">
        <w:t>tate and local government taxes vary across jurisdictions.</w:t>
      </w:r>
    </w:p>
    <w:p w14:paraId="694EB61F" w14:textId="389E1066" w:rsidR="00B07B8C" w:rsidRPr="000219CE" w:rsidRDefault="00F37E7D" w:rsidP="00F37E7D">
      <w:pPr>
        <w:pStyle w:val="ChartMainHeading"/>
      </w:pPr>
      <w:proofErr w:type="gramStart"/>
      <w:r w:rsidRPr="000219CE">
        <w:t xml:space="preserve">Chart </w:t>
      </w:r>
      <w:fldSimple w:instr=" STYLEREF 1 \s ">
        <w:r w:rsidR="0068169D">
          <w:rPr>
            <w:noProof/>
          </w:rPr>
          <w:t>2</w:t>
        </w:r>
      </w:fldSimple>
      <w:r w:rsidR="007B4589" w:rsidRPr="000219CE">
        <w:t>.</w:t>
      </w:r>
      <w:proofErr w:type="gramEnd"/>
      <w:r w:rsidR="0068169D">
        <w:fldChar w:fldCharType="begin"/>
      </w:r>
      <w:r w:rsidR="0068169D">
        <w:instrText xml:space="preserve"> SEQ Chart \* ARABIC \s 1 </w:instrText>
      </w:r>
      <w:r w:rsidR="0068169D">
        <w:fldChar w:fldCharType="separate"/>
      </w:r>
      <w:r w:rsidR="0068169D">
        <w:rPr>
          <w:noProof/>
        </w:rPr>
        <w:t>1</w:t>
      </w:r>
      <w:r w:rsidR="0068169D">
        <w:rPr>
          <w:noProof/>
        </w:rPr>
        <w:fldChar w:fldCharType="end"/>
      </w:r>
      <w:r w:rsidRPr="000219CE">
        <w:t xml:space="preserve"> </w:t>
      </w:r>
      <w:r w:rsidR="00B07B8C" w:rsidRPr="000219CE">
        <w:t xml:space="preserve">Composition of </w:t>
      </w:r>
      <w:r w:rsidR="00B57FC9" w:rsidRPr="000219CE">
        <w:t>Australian</w:t>
      </w:r>
      <w:r w:rsidR="00B07B8C" w:rsidRPr="000219CE">
        <w:t xml:space="preserve"> and </w:t>
      </w:r>
      <w:r w:rsidR="00291120">
        <w:t>s</w:t>
      </w:r>
      <w:r w:rsidR="00B07B8C" w:rsidRPr="000219CE">
        <w:t>tate and local taxes, 2012</w:t>
      </w:r>
      <w:r w:rsidR="00E53472">
        <w:noBreakHyphen/>
      </w:r>
      <w:r w:rsidR="00B07B8C" w:rsidRPr="000219CE">
        <w:t>13</w:t>
      </w:r>
    </w:p>
    <w:bookmarkStart w:id="21" w:name="_1484576149"/>
    <w:bookmarkStart w:id="22" w:name="_1484576328"/>
    <w:bookmarkStart w:id="23" w:name="_1486291920"/>
    <w:bookmarkStart w:id="24" w:name="_1487161841"/>
    <w:bookmarkStart w:id="25" w:name="_1488352071"/>
    <w:bookmarkStart w:id="26" w:name="_1488364359"/>
    <w:bookmarkEnd w:id="21"/>
    <w:bookmarkEnd w:id="22"/>
    <w:bookmarkEnd w:id="23"/>
    <w:bookmarkEnd w:id="24"/>
    <w:bookmarkEnd w:id="25"/>
    <w:bookmarkEnd w:id="26"/>
    <w:p w14:paraId="0BADB4C8" w14:textId="503921B1" w:rsidR="00B07B8C" w:rsidRPr="000219CE" w:rsidRDefault="00AF5B02" w:rsidP="0089272D">
      <w:pPr>
        <w:pStyle w:val="ChartGraphic"/>
      </w:pPr>
      <w:r w:rsidRPr="000219CE">
        <w:object w:dxaOrig="8775" w:dyaOrig="4515" w14:anchorId="0B49A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art 2.1 Composition of Australia’s Commonwealth and State and local taxes, 2012-13&#10;This chart shows that Commonwealth tax revenue was over four times higher than state and local government tax revenue in 2012-13 (the latest year of data available). Commonwealth Government taxation was largely comprised from income taxes ($242 billion out of $338 billion). State and local government taxation was comprised of property taxes ($36 billion), payroll taxes ($21 billion) and taxes on goods, services and activities ($21 billion).&#10;" style="width:438.9pt;height:225.95pt;mso-position-vertical:absolute" o:ole="">
            <v:imagedata r:id="rId13" o:title=""/>
          </v:shape>
          <o:OLEObject Type="Link" ProgID="Excel.Sheet.12" ShapeID="_x0000_i1025" DrawAspect="Content" r:id="rId14" UpdateMode="Always">
            <o:LinkType>EnhancedMetaFile</o:LinkType>
            <o:LockedField/>
            <o:FieldCodes>\* MERGEFORMAT</o:FieldCodes>
          </o:OLEObject>
        </w:object>
      </w:r>
    </w:p>
    <w:p w14:paraId="0DB620D3" w14:textId="26732E61" w:rsidR="008A6D97" w:rsidRPr="000219CE" w:rsidRDefault="008A6D97" w:rsidP="009D0589">
      <w:pPr>
        <w:pStyle w:val="ChartandTableNote"/>
        <w:spacing w:before="40"/>
        <w:ind w:left="426"/>
      </w:pPr>
      <w:r w:rsidRPr="000219CE">
        <w:t xml:space="preserve">Note: </w:t>
      </w:r>
      <w:r w:rsidR="00A54B59" w:rsidRPr="000219CE">
        <w:t xml:space="preserve">Under </w:t>
      </w:r>
      <w:r w:rsidR="000D5DA3" w:rsidRPr="000219CE">
        <w:t xml:space="preserve">the </w:t>
      </w:r>
      <w:r w:rsidR="000D5DA3" w:rsidRPr="000219CE">
        <w:rPr>
          <w:i/>
        </w:rPr>
        <w:t>Australian System of Government Financial Statistics</w:t>
      </w:r>
      <w:r w:rsidR="009D0589">
        <w:rPr>
          <w:i/>
        </w:rPr>
        <w:t>,</w:t>
      </w:r>
      <w:r w:rsidR="000D5DA3" w:rsidRPr="000219CE">
        <w:rPr>
          <w:rStyle w:val="FootnoteReference"/>
        </w:rPr>
        <w:footnoteReference w:id="6"/>
      </w:r>
      <w:r w:rsidR="000D5DA3" w:rsidRPr="000219CE">
        <w:t xml:space="preserve"> royalty income is not a form of taxation and is included in the property income category along with interest income and dividends.</w:t>
      </w:r>
      <w:r w:rsidR="00D82F65" w:rsidRPr="000219CE">
        <w:t xml:space="preserve"> </w:t>
      </w:r>
      <w:proofErr w:type="gramStart"/>
      <w:r w:rsidR="00710009" w:rsidRPr="000219CE">
        <w:t>Federal</w:t>
      </w:r>
      <w:r w:rsidR="00D82F65" w:rsidRPr="000219CE">
        <w:t xml:space="preserve"> </w:t>
      </w:r>
      <w:r w:rsidR="00E53472">
        <w:t>‘</w:t>
      </w:r>
      <w:r w:rsidR="00D82F65" w:rsidRPr="000219CE">
        <w:t>Taxes on goods, services and activities</w:t>
      </w:r>
      <w:r w:rsidR="00E53472">
        <w:t>’</w:t>
      </w:r>
      <w:r w:rsidR="00D82F65" w:rsidRPr="000219CE">
        <w:t xml:space="preserve"> includes the </w:t>
      </w:r>
      <w:r w:rsidR="00126747" w:rsidRPr="000219CE">
        <w:t>g</w:t>
      </w:r>
      <w:r w:rsidR="00D82F65" w:rsidRPr="000219CE">
        <w:t xml:space="preserve">oods and </w:t>
      </w:r>
      <w:r w:rsidR="00126747" w:rsidRPr="000219CE">
        <w:t>s</w:t>
      </w:r>
      <w:r w:rsidR="00D82F65" w:rsidRPr="000219CE">
        <w:t>ervices tax revenue.</w:t>
      </w:r>
      <w:proofErr w:type="gramEnd"/>
      <w:r w:rsidR="00D82F65" w:rsidRPr="000219CE">
        <w:t xml:space="preserve"> </w:t>
      </w:r>
    </w:p>
    <w:p w14:paraId="21FD1741" w14:textId="352AA636" w:rsidR="00B07B8C" w:rsidRPr="000219CE" w:rsidRDefault="00B07B8C" w:rsidP="00157DC2">
      <w:pPr>
        <w:pStyle w:val="ChartandTableNote"/>
        <w:ind w:left="426"/>
      </w:pPr>
      <w:r w:rsidRPr="000219CE">
        <w:t xml:space="preserve">Source: </w:t>
      </w:r>
      <w:r w:rsidR="00677E52" w:rsidRPr="000219CE">
        <w:t>Australian Bureau of Statistics (</w:t>
      </w:r>
      <w:r w:rsidRPr="000219CE">
        <w:t>ABS</w:t>
      </w:r>
      <w:r w:rsidR="00677E52" w:rsidRPr="000219CE">
        <w:t>)</w:t>
      </w:r>
      <w:r w:rsidR="00F83111" w:rsidRPr="000219CE">
        <w:t xml:space="preserve"> 2014,</w:t>
      </w:r>
      <w:r w:rsidR="0055013D" w:rsidRPr="000219CE">
        <w:t xml:space="preserve"> </w:t>
      </w:r>
      <w:r w:rsidR="00F83111" w:rsidRPr="000219CE">
        <w:rPr>
          <w:i/>
        </w:rPr>
        <w:t>Taxation Revenue, Australia, 2012</w:t>
      </w:r>
      <w:r w:rsidR="00E53472">
        <w:rPr>
          <w:i/>
        </w:rPr>
        <w:noBreakHyphen/>
      </w:r>
      <w:r w:rsidR="00F83111" w:rsidRPr="000219CE">
        <w:rPr>
          <w:i/>
        </w:rPr>
        <w:t>13</w:t>
      </w:r>
      <w:r w:rsidR="00F83111" w:rsidRPr="000219CE">
        <w:t xml:space="preserve">, </w:t>
      </w:r>
      <w:r w:rsidR="005E59B8" w:rsidRPr="000219CE">
        <w:t>c</w:t>
      </w:r>
      <w:r w:rsidR="0055013D" w:rsidRPr="000219CE">
        <w:t>at</w:t>
      </w:r>
      <w:r w:rsidR="005E59B8" w:rsidRPr="000219CE">
        <w:t>.</w:t>
      </w:r>
      <w:r w:rsidR="00D551AC" w:rsidRPr="000219CE">
        <w:t> </w:t>
      </w:r>
      <w:proofErr w:type="gramStart"/>
      <w:r w:rsidR="00F83111" w:rsidRPr="000219CE">
        <w:t>n</w:t>
      </w:r>
      <w:r w:rsidR="005E59B8" w:rsidRPr="000219CE">
        <w:t>o</w:t>
      </w:r>
      <w:proofErr w:type="gramEnd"/>
      <w:r w:rsidR="005E59B8" w:rsidRPr="000219CE">
        <w:t>. </w:t>
      </w:r>
      <w:r w:rsidRPr="000219CE">
        <w:t>5506.0</w:t>
      </w:r>
      <w:r w:rsidR="00F83111" w:rsidRPr="000219CE">
        <w:t xml:space="preserve">, </w:t>
      </w:r>
      <w:r w:rsidR="003F290D" w:rsidRPr="000219CE">
        <w:t>ABS, Canberra</w:t>
      </w:r>
      <w:r w:rsidR="00677E52" w:rsidRPr="000219CE">
        <w:t>.</w:t>
      </w:r>
    </w:p>
    <w:p w14:paraId="71781FD1" w14:textId="77777777" w:rsidR="00157DC2" w:rsidRPr="000219CE" w:rsidRDefault="00157DC2" w:rsidP="00157DC2"/>
    <w:p w14:paraId="66F37418" w14:textId="22C97A55" w:rsidR="00EE52BA" w:rsidRPr="000219CE" w:rsidRDefault="00BD0440" w:rsidP="00CD4B79">
      <w:pPr>
        <w:keepLines/>
      </w:pPr>
      <w:r w:rsidRPr="000219CE">
        <w:lastRenderedPageBreak/>
        <w:t>In 2013</w:t>
      </w:r>
      <w:r w:rsidR="00E53472">
        <w:noBreakHyphen/>
      </w:r>
      <w:r w:rsidRPr="000219CE">
        <w:t xml:space="preserve">14, </w:t>
      </w:r>
      <w:r w:rsidR="00291120">
        <w:t>s</w:t>
      </w:r>
      <w:r w:rsidR="001F27A9" w:rsidRPr="000219CE">
        <w:t xml:space="preserve">tate and </w:t>
      </w:r>
      <w:r w:rsidR="00291120">
        <w:t>t</w:t>
      </w:r>
      <w:r w:rsidR="001F27A9" w:rsidRPr="000219CE">
        <w:t>erritory governments (</w:t>
      </w:r>
      <w:r w:rsidR="000B0862" w:rsidRPr="000219CE">
        <w:t xml:space="preserve">excluding </w:t>
      </w:r>
      <w:r w:rsidR="001F27A9" w:rsidRPr="000219CE">
        <w:t xml:space="preserve">local </w:t>
      </w:r>
      <w:r w:rsidR="00FF7423" w:rsidRPr="000219CE">
        <w:t>governments</w:t>
      </w:r>
      <w:r w:rsidR="001F27A9" w:rsidRPr="000219CE">
        <w:t>) generate</w:t>
      </w:r>
      <w:r w:rsidR="000B0862" w:rsidRPr="000219CE">
        <w:t>d</w:t>
      </w:r>
      <w:r w:rsidR="001F27A9" w:rsidRPr="000219CE">
        <w:t xml:space="preserve"> around 31</w:t>
      </w:r>
      <w:r w:rsidRPr="000219CE">
        <w:t> </w:t>
      </w:r>
      <w:r w:rsidR="001F27A9" w:rsidRPr="000219CE">
        <w:t xml:space="preserve">per cent of their total revenue from </w:t>
      </w:r>
      <w:r w:rsidR="00F06A36" w:rsidRPr="000219CE">
        <w:t xml:space="preserve">the </w:t>
      </w:r>
      <w:r w:rsidR="001F27A9" w:rsidRPr="000219CE">
        <w:t xml:space="preserve">taxes they administer. The </w:t>
      </w:r>
      <w:r w:rsidR="00CD4B79">
        <w:t>s</w:t>
      </w:r>
      <w:r w:rsidR="001F27A9" w:rsidRPr="000219CE">
        <w:t xml:space="preserve">tates and </w:t>
      </w:r>
      <w:r w:rsidR="00CD4B79">
        <w:t>t</w:t>
      </w:r>
      <w:r w:rsidR="001F27A9" w:rsidRPr="000219CE">
        <w:t>erritories receive</w:t>
      </w:r>
      <w:r w:rsidR="000B0862" w:rsidRPr="000219CE">
        <w:t>d</w:t>
      </w:r>
      <w:r w:rsidR="001F27A9" w:rsidRPr="000219CE">
        <w:t xml:space="preserve"> </w:t>
      </w:r>
      <w:r w:rsidR="00DC6015" w:rsidRPr="000219CE">
        <w:t xml:space="preserve">around </w:t>
      </w:r>
      <w:r w:rsidR="001F27A9" w:rsidRPr="000219CE">
        <w:t xml:space="preserve">a further 45 per cent of their revenue from the </w:t>
      </w:r>
      <w:r w:rsidR="00FA2AB9">
        <w:t>federal</w:t>
      </w:r>
      <w:r w:rsidR="00710009" w:rsidRPr="000219CE">
        <w:t xml:space="preserve"> Government</w:t>
      </w:r>
      <w:r w:rsidR="001F27A9" w:rsidRPr="000219CE">
        <w:t xml:space="preserve"> </w:t>
      </w:r>
      <w:r w:rsidR="0021576F" w:rsidRPr="000219CE">
        <w:t xml:space="preserve">by way of </w:t>
      </w:r>
      <w:r w:rsidR="001F27A9" w:rsidRPr="000219CE">
        <w:t xml:space="preserve">specific purpose payments and </w:t>
      </w:r>
      <w:r w:rsidR="00D80B4C" w:rsidRPr="000219CE">
        <w:t xml:space="preserve">general </w:t>
      </w:r>
      <w:r w:rsidR="001F27A9" w:rsidRPr="000219CE">
        <w:t>revenue assistance, including</w:t>
      </w:r>
      <w:r w:rsidR="00135CF0" w:rsidRPr="000219CE">
        <w:t xml:space="preserve"> </w:t>
      </w:r>
      <w:r w:rsidR="001F27A9" w:rsidRPr="000219CE">
        <w:t>all GST revenue.</w:t>
      </w:r>
      <w:r w:rsidR="003F497A" w:rsidRPr="000219CE">
        <w:rPr>
          <w:rStyle w:val="FootnoteReference"/>
        </w:rPr>
        <w:footnoteReference w:id="7"/>
      </w:r>
      <w:r w:rsidR="001F27A9" w:rsidRPr="000219CE">
        <w:t xml:space="preserve"> The remainder of </w:t>
      </w:r>
      <w:r w:rsidR="00FA2AB9">
        <w:t>s</w:t>
      </w:r>
      <w:r w:rsidR="001F27A9" w:rsidRPr="000219CE">
        <w:t xml:space="preserve">tate and </w:t>
      </w:r>
      <w:r w:rsidR="00FA2AB9">
        <w:t>t</w:t>
      </w:r>
      <w:r w:rsidR="001F27A9" w:rsidRPr="000219CE">
        <w:t>erritory revenue comes from other sources</w:t>
      </w:r>
      <w:r w:rsidR="00950DDA" w:rsidRPr="000219CE">
        <w:t>,</w:t>
      </w:r>
      <w:r w:rsidR="001F27A9" w:rsidRPr="000219CE">
        <w:t xml:space="preserve"> including the sale of goods and services</w:t>
      </w:r>
      <w:r w:rsidR="003F497A" w:rsidRPr="000219CE">
        <w:t xml:space="preserve"> and royalties</w:t>
      </w:r>
      <w:r w:rsidR="001F27A9" w:rsidRPr="000219CE">
        <w:t>.</w:t>
      </w:r>
      <w:r w:rsidR="003F497A" w:rsidRPr="000219CE">
        <w:rPr>
          <w:rStyle w:val="FootnoteReference"/>
        </w:rPr>
        <w:footnoteReference w:id="8"/>
      </w:r>
    </w:p>
    <w:p w14:paraId="7EE99AF9" w14:textId="279869D7" w:rsidR="00AF6776" w:rsidRPr="000219CE" w:rsidRDefault="00AF6776" w:rsidP="001F27A9">
      <w:r w:rsidRPr="000219CE">
        <w:t xml:space="preserve">The situation where the </w:t>
      </w:r>
      <w:r w:rsidR="00CF0FCE">
        <w:t>s</w:t>
      </w:r>
      <w:r w:rsidRPr="000219CE">
        <w:t xml:space="preserve">tates and </w:t>
      </w:r>
      <w:r w:rsidR="00CF0FCE">
        <w:t>t</w:t>
      </w:r>
      <w:r w:rsidRPr="000219CE">
        <w:t xml:space="preserve">erritories rely on funding transfers from the </w:t>
      </w:r>
      <w:r w:rsidR="006D550B">
        <w:t>federal </w:t>
      </w:r>
      <w:r w:rsidR="00710009" w:rsidRPr="000219CE">
        <w:t>Government</w:t>
      </w:r>
      <w:r w:rsidRPr="000219CE">
        <w:t xml:space="preserve"> to meet their expenditure responsibilities is referred to as vertical fiscal imbalance (VFI).</w:t>
      </w:r>
    </w:p>
    <w:p w14:paraId="229DB509" w14:textId="7351CD85" w:rsidR="001F27A9" w:rsidRPr="000219CE" w:rsidRDefault="001F27A9" w:rsidP="00457D02">
      <w:pPr>
        <w:pStyle w:val="Heading3"/>
      </w:pPr>
      <w:bookmarkStart w:id="27" w:name="_Toc402333504"/>
      <w:bookmarkStart w:id="28" w:name="_Toc402326852"/>
      <w:bookmarkStart w:id="29" w:name="_Toc402340280"/>
      <w:bookmarkStart w:id="30" w:name="_Toc402343375"/>
      <w:bookmarkStart w:id="31" w:name="_Toc402346611"/>
      <w:bookmarkStart w:id="32" w:name="_Toc404346727"/>
      <w:bookmarkStart w:id="33" w:name="_Toc409532958"/>
      <w:r w:rsidRPr="000219CE">
        <w:t>Australia</w:t>
      </w:r>
      <w:r w:rsidR="00E879CF" w:rsidRPr="000219CE">
        <w:t xml:space="preserve"> has a</w:t>
      </w:r>
      <w:r w:rsidR="00746555" w:rsidRPr="000219CE">
        <w:t xml:space="preserve"> relatively</w:t>
      </w:r>
      <w:r w:rsidR="00E879CF" w:rsidRPr="000219CE">
        <w:t xml:space="preserve"> low</w:t>
      </w:r>
      <w:r w:rsidRPr="000219CE">
        <w:t xml:space="preserve"> tax burden </w:t>
      </w:r>
      <w:r w:rsidR="00170DAA" w:rsidRPr="000219CE">
        <w:t>compared</w:t>
      </w:r>
      <w:r w:rsidR="00E879CF" w:rsidRPr="000219CE">
        <w:t xml:space="preserve"> to</w:t>
      </w:r>
      <w:r w:rsidRPr="000219CE">
        <w:t xml:space="preserve"> other </w:t>
      </w:r>
      <w:r w:rsidR="00E32999" w:rsidRPr="000219CE">
        <w:t>developed</w:t>
      </w:r>
      <w:r w:rsidRPr="000219CE">
        <w:t xml:space="preserve"> countries</w:t>
      </w:r>
      <w:bookmarkEnd w:id="27"/>
      <w:bookmarkEnd w:id="28"/>
      <w:bookmarkEnd w:id="29"/>
      <w:bookmarkEnd w:id="30"/>
      <w:bookmarkEnd w:id="31"/>
      <w:bookmarkEnd w:id="32"/>
      <w:bookmarkEnd w:id="33"/>
    </w:p>
    <w:p w14:paraId="18E69B52" w14:textId="1CC6B558" w:rsidR="00340924" w:rsidRPr="000219CE" w:rsidRDefault="001F27A9" w:rsidP="001F27A9">
      <w:r w:rsidRPr="000219CE">
        <w:t>Australia</w:t>
      </w:r>
      <w:r w:rsidR="00E53472">
        <w:t>’</w:t>
      </w:r>
      <w:r w:rsidRPr="000219CE">
        <w:t xml:space="preserve">s aggregate tax burden is </w:t>
      </w:r>
      <w:r w:rsidR="008D2B35" w:rsidRPr="000219CE">
        <w:t>relatively low compared with other developed countries</w:t>
      </w:r>
      <w:r w:rsidR="00135CF0" w:rsidRPr="000219CE">
        <w:t>, but higher than some of our major regional trading partners,</w:t>
      </w:r>
      <w:r w:rsidR="00E32999" w:rsidRPr="000219CE">
        <w:t xml:space="preserve"> </w:t>
      </w:r>
      <w:r w:rsidRPr="000219CE">
        <w:t>at around 2</w:t>
      </w:r>
      <w:r w:rsidR="00561F5D" w:rsidRPr="000219CE">
        <w:t>7.3</w:t>
      </w:r>
      <w:r w:rsidR="00BD0440" w:rsidRPr="000219CE">
        <w:t> </w:t>
      </w:r>
      <w:r w:rsidRPr="000219CE">
        <w:t>per</w:t>
      </w:r>
      <w:r w:rsidR="00BD0440" w:rsidRPr="000219CE">
        <w:t> </w:t>
      </w:r>
      <w:r w:rsidRPr="000219CE">
        <w:t>cent</w:t>
      </w:r>
      <w:r w:rsidR="00E879CF" w:rsidRPr="000219CE">
        <w:t xml:space="preserve"> of GDP</w:t>
      </w:r>
      <w:r w:rsidR="007111EA" w:rsidRPr="000219CE">
        <w:t xml:space="preserve"> </w:t>
      </w:r>
      <w:r w:rsidR="00480526" w:rsidRPr="000219CE">
        <w:t>in 201</w:t>
      </w:r>
      <w:r w:rsidR="00561F5D" w:rsidRPr="000219CE">
        <w:t>2</w:t>
      </w:r>
      <w:r w:rsidR="00480526" w:rsidRPr="000219CE">
        <w:t xml:space="preserve"> </w:t>
      </w:r>
      <w:r w:rsidR="007111EA" w:rsidRPr="000219CE">
        <w:t>(</w:t>
      </w:r>
      <w:r w:rsidR="00480526" w:rsidRPr="000219CE">
        <w:t>C</w:t>
      </w:r>
      <w:r w:rsidR="007111EA" w:rsidRPr="000219CE">
        <w:t xml:space="preserve">hart </w:t>
      </w:r>
      <w:r w:rsidR="00D57CB7" w:rsidRPr="000219CE">
        <w:t>2</w:t>
      </w:r>
      <w:r w:rsidR="00E36AF1" w:rsidRPr="000219CE">
        <w:t>.</w:t>
      </w:r>
      <w:r w:rsidR="00480526" w:rsidRPr="000219CE">
        <w:t>2</w:t>
      </w:r>
      <w:r w:rsidR="007111EA" w:rsidRPr="000219CE">
        <w:t>)</w:t>
      </w:r>
      <w:r w:rsidRPr="000219CE">
        <w:t>.</w:t>
      </w:r>
      <w:r w:rsidR="00B616E8" w:rsidRPr="000219CE">
        <w:rPr>
          <w:rStyle w:val="FootnoteReference"/>
        </w:rPr>
        <w:footnoteReference w:id="9"/>
      </w:r>
      <w:r w:rsidRPr="000219CE">
        <w:t xml:space="preserve"> This is a product of Australia</w:t>
      </w:r>
      <w:r w:rsidR="00E53472">
        <w:t>’</w:t>
      </w:r>
      <w:r w:rsidRPr="000219CE">
        <w:t>s smaller overall size of government</w:t>
      </w:r>
      <w:r w:rsidR="00147B41" w:rsidRPr="000219CE">
        <w:t xml:space="preserve"> compared to many of its </w:t>
      </w:r>
      <w:r w:rsidR="00E32999" w:rsidRPr="000219CE">
        <w:t xml:space="preserve">developed </w:t>
      </w:r>
      <w:r w:rsidR="00147B41" w:rsidRPr="000219CE">
        <w:t>counterparts</w:t>
      </w:r>
      <w:r w:rsidR="00F53CE8" w:rsidRPr="000219CE">
        <w:t xml:space="preserve"> and that </w:t>
      </w:r>
      <w:r w:rsidR="0021576F" w:rsidRPr="000219CE">
        <w:t xml:space="preserve">it </w:t>
      </w:r>
      <w:r w:rsidR="00F53CE8" w:rsidRPr="000219CE">
        <w:t xml:space="preserve">is only one of two </w:t>
      </w:r>
      <w:r w:rsidR="00E32999" w:rsidRPr="000219CE">
        <w:t xml:space="preserve">developed </w:t>
      </w:r>
      <w:r w:rsidR="00F53CE8" w:rsidRPr="000219CE">
        <w:t>countries that do not levy specific social security taxes</w:t>
      </w:r>
      <w:r w:rsidR="0021576F" w:rsidRPr="000219CE">
        <w:t xml:space="preserve"> (the other being New</w:t>
      </w:r>
      <w:r w:rsidR="00561F5D" w:rsidRPr="000219CE">
        <w:t> </w:t>
      </w:r>
      <w:r w:rsidR="0021576F" w:rsidRPr="000219CE">
        <w:t>Zealand)</w:t>
      </w:r>
      <w:r w:rsidR="00F37E7D" w:rsidRPr="000219CE">
        <w:t>.</w:t>
      </w:r>
    </w:p>
    <w:p w14:paraId="07A7F719" w14:textId="58E83F6E" w:rsidR="0080347B" w:rsidRPr="000219CE" w:rsidRDefault="00163890" w:rsidP="001F27A9">
      <w:r w:rsidRPr="000219CE">
        <w:t>Australia</w:t>
      </w:r>
      <w:r w:rsidR="00E53472">
        <w:t>’</w:t>
      </w:r>
      <w:r w:rsidRPr="000219CE">
        <w:t>s compulsory superannuation system</w:t>
      </w:r>
      <w:r w:rsidR="00AC472D" w:rsidRPr="000219CE">
        <w:t xml:space="preserve"> — </w:t>
      </w:r>
      <w:r w:rsidRPr="000219CE">
        <w:t>the superannuation guarantee</w:t>
      </w:r>
      <w:r w:rsidR="00AC472D" w:rsidRPr="000219CE">
        <w:t xml:space="preserve"> — </w:t>
      </w:r>
      <w:r w:rsidR="005726A8" w:rsidRPr="000219CE">
        <w:t xml:space="preserve">is </w:t>
      </w:r>
      <w:r w:rsidRPr="000219CE">
        <w:t xml:space="preserve">sometimes </w:t>
      </w:r>
      <w:r w:rsidR="005726A8" w:rsidRPr="000219CE">
        <w:t>equated</w:t>
      </w:r>
      <w:r w:rsidR="008F5CFA" w:rsidRPr="000219CE">
        <w:t xml:space="preserve"> to a social security tax. </w:t>
      </w:r>
      <w:r w:rsidR="0080347B" w:rsidRPr="000219CE">
        <w:t>However, as it is paid directly into private superannuation accounts (currently set at 9.5 per cent of an employee</w:t>
      </w:r>
      <w:r w:rsidR="00E53472">
        <w:t>’</w:t>
      </w:r>
      <w:r w:rsidR="0080347B" w:rsidRPr="000219CE">
        <w:t>s ordinary time earnings) rather than to the government, it does not meet the definition of a tax</w:t>
      </w:r>
      <w:r w:rsidR="00E569EB" w:rsidRPr="000219CE">
        <w:t>.</w:t>
      </w:r>
      <w:r w:rsidR="0080347B" w:rsidRPr="000219CE">
        <w:rPr>
          <w:rStyle w:val="FootnoteReference"/>
        </w:rPr>
        <w:footnoteReference w:id="10"/>
      </w:r>
      <w:r w:rsidR="0080347B" w:rsidRPr="000219CE">
        <w:t xml:space="preserve"> </w:t>
      </w:r>
    </w:p>
    <w:p w14:paraId="31EF2B77" w14:textId="16A112E3" w:rsidR="001F27A9" w:rsidRPr="000219CE" w:rsidRDefault="001F27A9" w:rsidP="001F27A9">
      <w:r w:rsidRPr="000219CE">
        <w:t>The Government</w:t>
      </w:r>
      <w:r w:rsidR="00E53472">
        <w:t>’</w:t>
      </w:r>
      <w:r w:rsidRPr="000219CE">
        <w:t>s budget projections incorporate a cap on Commonwealth taxation at</w:t>
      </w:r>
      <w:r w:rsidR="00B615E9" w:rsidRPr="000219CE">
        <w:t xml:space="preserve"> </w:t>
      </w:r>
      <w:r w:rsidRPr="000219CE">
        <w:t>23.9</w:t>
      </w:r>
      <w:r w:rsidR="00B615E9" w:rsidRPr="000219CE">
        <w:t> </w:t>
      </w:r>
      <w:r w:rsidRPr="000219CE">
        <w:t>per cent of GDP (which</w:t>
      </w:r>
      <w:r w:rsidR="0021576F" w:rsidRPr="000219CE">
        <w:t>,</w:t>
      </w:r>
      <w:r w:rsidR="00A53D9D">
        <w:t xml:space="preserve"> the 2014</w:t>
      </w:r>
      <w:r w:rsidR="00E53472">
        <w:noBreakHyphen/>
      </w:r>
      <w:r w:rsidR="00A53D9D">
        <w:t xml:space="preserve">15 </w:t>
      </w:r>
      <w:r w:rsidR="003A0D16" w:rsidRPr="000219CE">
        <w:t xml:space="preserve">MYEFO </w:t>
      </w:r>
      <w:r w:rsidRPr="000219CE">
        <w:t>2014</w:t>
      </w:r>
      <w:r w:rsidR="00E53472">
        <w:noBreakHyphen/>
      </w:r>
      <w:r w:rsidRPr="000219CE">
        <w:t>15</w:t>
      </w:r>
      <w:r w:rsidR="00A53D9D">
        <w:t xml:space="preserve"> </w:t>
      </w:r>
      <w:r w:rsidRPr="000219CE">
        <w:t xml:space="preserve">projected to be reached in </w:t>
      </w:r>
      <w:r w:rsidR="00375883" w:rsidRPr="000219CE">
        <w:t>20</w:t>
      </w:r>
      <w:r w:rsidR="006B31E5" w:rsidRPr="000219CE">
        <w:t>20</w:t>
      </w:r>
      <w:r w:rsidR="00E53472">
        <w:noBreakHyphen/>
      </w:r>
      <w:r w:rsidR="006B31E5" w:rsidRPr="000219CE">
        <w:t>21</w:t>
      </w:r>
      <w:r w:rsidRPr="000219CE">
        <w:t>).</w:t>
      </w:r>
    </w:p>
    <w:p w14:paraId="0017C6CD" w14:textId="77463035" w:rsidR="0046010F" w:rsidRPr="000219CE" w:rsidRDefault="00F37E7D" w:rsidP="00F37E7D">
      <w:pPr>
        <w:pStyle w:val="ChartMainHeading"/>
      </w:pPr>
      <w:proofErr w:type="gramStart"/>
      <w:r w:rsidRPr="000219CE">
        <w:lastRenderedPageBreak/>
        <w:t xml:space="preserve">Chart </w:t>
      </w:r>
      <w:fldSimple w:instr=" STYLEREF 1 \s ">
        <w:r w:rsidR="0068169D">
          <w:rPr>
            <w:noProof/>
          </w:rPr>
          <w:t>2</w:t>
        </w:r>
      </w:fldSimple>
      <w:r w:rsidR="007B4589" w:rsidRPr="000219CE">
        <w:t>.</w:t>
      </w:r>
      <w:proofErr w:type="gramEnd"/>
      <w:r w:rsidR="0068169D">
        <w:fldChar w:fldCharType="begin"/>
      </w:r>
      <w:r w:rsidR="0068169D">
        <w:instrText xml:space="preserve"> SEQ Chart \* ARABIC \s 1 </w:instrText>
      </w:r>
      <w:r w:rsidR="0068169D">
        <w:fldChar w:fldCharType="separate"/>
      </w:r>
      <w:r w:rsidR="0068169D">
        <w:rPr>
          <w:noProof/>
        </w:rPr>
        <w:t>2</w:t>
      </w:r>
      <w:r w:rsidR="0068169D">
        <w:rPr>
          <w:noProof/>
        </w:rPr>
        <w:fldChar w:fldCharType="end"/>
      </w:r>
      <w:r w:rsidR="007111EA" w:rsidRPr="000219CE">
        <w:t xml:space="preserve"> </w:t>
      </w:r>
      <w:r w:rsidR="00193D08" w:rsidRPr="000219CE">
        <w:t>T</w:t>
      </w:r>
      <w:r w:rsidR="001F27A9" w:rsidRPr="000219CE">
        <w:t>otal tax revenue as a</w:t>
      </w:r>
      <w:r w:rsidR="00193D08" w:rsidRPr="000219CE">
        <w:t xml:space="preserve"> </w:t>
      </w:r>
      <w:r w:rsidR="001F27A9" w:rsidRPr="000219CE">
        <w:t>percentage of GDP</w:t>
      </w:r>
      <w:r w:rsidR="00676B12" w:rsidRPr="000219CE">
        <w:t xml:space="preserve">, </w:t>
      </w:r>
      <w:r w:rsidR="00904828">
        <w:t xml:space="preserve">for </w:t>
      </w:r>
      <w:r w:rsidR="00193D08" w:rsidRPr="000219CE">
        <w:t xml:space="preserve">OECD </w:t>
      </w:r>
      <w:r w:rsidR="00D33480" w:rsidRPr="000219CE">
        <w:t xml:space="preserve">and </w:t>
      </w:r>
      <w:r w:rsidR="007F410A" w:rsidRPr="000219CE">
        <w:t xml:space="preserve">selected </w:t>
      </w:r>
      <w:r w:rsidR="00C060F6">
        <w:t>Asian </w:t>
      </w:r>
      <w:r w:rsidR="009A09B1" w:rsidRPr="00C649D6">
        <w:t>economies</w:t>
      </w:r>
      <w:r w:rsidR="00C060F6">
        <w:t>, </w:t>
      </w:r>
      <w:r w:rsidR="00676B12" w:rsidRPr="000219CE">
        <w:t>201</w:t>
      </w:r>
      <w:r w:rsidR="009373AD" w:rsidRPr="000219CE">
        <w:t>2</w:t>
      </w:r>
    </w:p>
    <w:bookmarkStart w:id="34" w:name="_1479726865"/>
    <w:bookmarkStart w:id="35" w:name="_1479727087"/>
    <w:bookmarkStart w:id="36" w:name="_1479726787"/>
    <w:bookmarkStart w:id="37" w:name="_1479726983"/>
    <w:bookmarkStart w:id="38" w:name="_1479729085"/>
    <w:bookmarkStart w:id="39" w:name="_1479735433"/>
    <w:bookmarkStart w:id="40" w:name="_1479801125"/>
    <w:bookmarkStart w:id="41" w:name="_1479809879"/>
    <w:bookmarkStart w:id="42" w:name="_1479889023"/>
    <w:bookmarkStart w:id="43" w:name="_1479988594"/>
    <w:bookmarkStart w:id="44" w:name="_1484576150"/>
    <w:bookmarkStart w:id="45" w:name="_1484576330"/>
    <w:bookmarkStart w:id="46" w:name="_1488364361"/>
    <w:bookmarkEnd w:id="34"/>
    <w:bookmarkEnd w:id="35"/>
    <w:bookmarkEnd w:id="36"/>
    <w:bookmarkEnd w:id="37"/>
    <w:bookmarkEnd w:id="38"/>
    <w:bookmarkEnd w:id="39"/>
    <w:bookmarkEnd w:id="40"/>
    <w:bookmarkEnd w:id="41"/>
    <w:bookmarkEnd w:id="42"/>
    <w:bookmarkEnd w:id="43"/>
    <w:bookmarkEnd w:id="44"/>
    <w:bookmarkEnd w:id="45"/>
    <w:bookmarkEnd w:id="46"/>
    <w:p w14:paraId="6DDA9A18" w14:textId="104FDCCF" w:rsidR="00D14E3C" w:rsidRPr="000219CE" w:rsidRDefault="00AF5B02" w:rsidP="00EB4BBB">
      <w:pPr>
        <w:pStyle w:val="ChartGraphic"/>
      </w:pPr>
      <w:r>
        <w:object w:dxaOrig="8761" w:dyaOrig="4966" w14:anchorId="34ACA9B3">
          <v:shape id="_x0000_i1026" type="#_x0000_t75" alt="Chart 2.2 Total tax revenue as a percentage of GDP, OECD and selected Asian economies, 2012&#10;This chart shows total taxation (including social security contributions) as a ratio of GDP across the 34 OECD countries and six other Asian economies (China, Malaysia, India, Singapore, Hong Kong and Indonesia) in 2012. Of the OECD countries, Australia has the equal sixth lowest tax to GDP ratio (27.3 per cent). Mexico, Chile, United States, South Korea and Switzerland had lower tax to GDP ratios than Australia and Ireland had a similar tax to GDP ratio as Australia. The six non -OECD Asian economies listed had a lower tax to GDP ratio than Australia.&#10;" style="width:438.15pt;height:248.15pt" o:ole="">
            <v:imagedata r:id="rId15" o:title=""/>
          </v:shape>
          <o:OLEObject Type="Link" ProgID="Excel.Sheet.12" ShapeID="_x0000_i1026" DrawAspect="Content" r:id="rId16" UpdateMode="Always">
            <o:LinkType>EnhancedMetaFile</o:LinkType>
            <o:LockedField/>
          </o:OLEObject>
        </w:object>
      </w:r>
    </w:p>
    <w:p w14:paraId="764879A0" w14:textId="08E07789" w:rsidR="00D33480" w:rsidRPr="000219CE" w:rsidRDefault="00D33480" w:rsidP="00157DC2">
      <w:pPr>
        <w:pStyle w:val="ChartandTableNote"/>
        <w:ind w:left="426"/>
      </w:pPr>
      <w:r w:rsidRPr="000219CE">
        <w:t xml:space="preserve">Note: </w:t>
      </w:r>
      <w:r w:rsidR="00EA7A92" w:rsidRPr="00EA7A92">
        <w:t>Tax</w:t>
      </w:r>
      <w:r w:rsidR="00E53472">
        <w:noBreakHyphen/>
      </w:r>
      <w:r w:rsidR="00EA7A92" w:rsidRPr="00EA7A92">
        <w:t>to</w:t>
      </w:r>
      <w:r w:rsidR="00E53472">
        <w:noBreakHyphen/>
      </w:r>
      <w:r w:rsidR="00EA7A92" w:rsidRPr="00EA7A92">
        <w:t>GDP sta</w:t>
      </w:r>
      <w:r w:rsidR="00EA7A92">
        <w:t>tistics for China, Hong Kong,</w:t>
      </w:r>
      <w:r w:rsidR="00EA7A92" w:rsidRPr="00EA7A92">
        <w:t xml:space="preserve"> Singapore </w:t>
      </w:r>
      <w:r w:rsidR="00EA7A92">
        <w:t xml:space="preserve">and India </w:t>
      </w:r>
      <w:r w:rsidR="00EA7A92" w:rsidRPr="00EA7A92">
        <w:t>have been prepared using the IMF</w:t>
      </w:r>
      <w:r w:rsidR="00E53472">
        <w:t>’</w:t>
      </w:r>
      <w:r w:rsidR="00EA7A92" w:rsidRPr="00EA7A92">
        <w:t>s Government Finance Statistics</w:t>
      </w:r>
      <w:r w:rsidR="00EA7A92">
        <w:t xml:space="preserve"> and are not directly comparable to OECD statistics</w:t>
      </w:r>
      <w:r w:rsidR="00EA7A92" w:rsidRPr="00EA7A92">
        <w:t>. Unlike the OECD, the IMF does not classify social security contributions as a tax. To improve comparability with OECD statistics, tax</w:t>
      </w:r>
      <w:r w:rsidR="00E53472">
        <w:noBreakHyphen/>
      </w:r>
      <w:r w:rsidR="00EA7A92" w:rsidRPr="00EA7A92">
        <w:t>to</w:t>
      </w:r>
      <w:r w:rsidR="00E53472">
        <w:noBreakHyphen/>
      </w:r>
      <w:r w:rsidR="00EA7A92" w:rsidRPr="00EA7A92">
        <w:t xml:space="preserve">GDP ratios </w:t>
      </w:r>
      <w:r w:rsidR="00EA7A92">
        <w:t>for China, Hong Kong, Singapore and India are calculated using</w:t>
      </w:r>
      <w:r w:rsidR="00EA7A92" w:rsidRPr="00EA7A92">
        <w:t xml:space="preserve"> IMF data</w:t>
      </w:r>
      <w:r w:rsidR="00EA7A92">
        <w:t xml:space="preserve"> but</w:t>
      </w:r>
      <w:r w:rsidR="00EA7A92" w:rsidRPr="00EA7A92">
        <w:t xml:space="preserve"> inclu</w:t>
      </w:r>
      <w:r w:rsidR="00EA7A92">
        <w:t>sive of</w:t>
      </w:r>
      <w:r w:rsidR="00EA7A92" w:rsidRPr="00EA7A92">
        <w:t xml:space="preserve"> social security contributions. Statistics for China are for 2011 and for India are for 2011</w:t>
      </w:r>
      <w:r w:rsidR="00E53472">
        <w:noBreakHyphen/>
      </w:r>
      <w:r w:rsidR="00EA7A92" w:rsidRPr="00EA7A92">
        <w:t>12.</w:t>
      </w:r>
    </w:p>
    <w:p w14:paraId="3F634DEC" w14:textId="4412663E" w:rsidR="001F27A9" w:rsidRPr="000219CE" w:rsidRDefault="0046010F" w:rsidP="00157DC2">
      <w:pPr>
        <w:pStyle w:val="ChartandTableNote"/>
        <w:ind w:left="426"/>
      </w:pPr>
      <w:r w:rsidRPr="000219CE">
        <w:t xml:space="preserve">Source: </w:t>
      </w:r>
      <w:r w:rsidR="00D33480" w:rsidRPr="000219CE">
        <w:t xml:space="preserve">OECD 2014, </w:t>
      </w:r>
      <w:r w:rsidR="00D33480" w:rsidRPr="000219CE">
        <w:rPr>
          <w:i/>
        </w:rPr>
        <w:t>Revenue Statistics 2014</w:t>
      </w:r>
      <w:r w:rsidR="00D33480" w:rsidRPr="000219CE">
        <w:t xml:space="preserve">, OECD Publications, Paris; OECD 2014, </w:t>
      </w:r>
      <w:r w:rsidR="00D33480" w:rsidRPr="000219CE">
        <w:rPr>
          <w:i/>
        </w:rPr>
        <w:t>Revenue Statistics in Asian Countries: Trends in Indonesia and Malaysia</w:t>
      </w:r>
      <w:r w:rsidR="00D33480" w:rsidRPr="000219CE">
        <w:t>, OECD</w:t>
      </w:r>
      <w:r w:rsidR="00726625" w:rsidRPr="000219CE">
        <w:t xml:space="preserve"> Publications</w:t>
      </w:r>
      <w:r w:rsidR="00D33480" w:rsidRPr="000219CE">
        <w:t xml:space="preserve">, Paris; </w:t>
      </w:r>
      <w:r w:rsidR="00416462">
        <w:t>International Monetary Fund (</w:t>
      </w:r>
      <w:r w:rsidR="00D65644" w:rsidRPr="000219CE">
        <w:t>IMF</w:t>
      </w:r>
      <w:r w:rsidR="00416462">
        <w:t>)</w:t>
      </w:r>
      <w:r w:rsidR="00D33480" w:rsidRPr="000219CE">
        <w:t xml:space="preserve"> 2014, </w:t>
      </w:r>
      <w:r w:rsidR="00D33480" w:rsidRPr="000219CE">
        <w:rPr>
          <w:i/>
        </w:rPr>
        <w:t>Government Finance Statistics Yearbook</w:t>
      </w:r>
      <w:r w:rsidR="00D33480" w:rsidRPr="000219CE">
        <w:t xml:space="preserve">, </w:t>
      </w:r>
      <w:r w:rsidR="00D610F5" w:rsidRPr="000219CE">
        <w:t>view</w:t>
      </w:r>
      <w:r w:rsidR="00D33480" w:rsidRPr="000219CE">
        <w:t xml:space="preserve">ed 21 </w:t>
      </w:r>
      <w:r w:rsidR="00861028" w:rsidRPr="000219CE">
        <w:t>January</w:t>
      </w:r>
      <w:r w:rsidR="00D33480" w:rsidRPr="000219CE">
        <w:t xml:space="preserve"> 201</w:t>
      </w:r>
      <w:r w:rsidR="00861028" w:rsidRPr="000219CE">
        <w:t>5</w:t>
      </w:r>
      <w:r w:rsidR="00D610F5" w:rsidRPr="000219CE">
        <w:t>:</w:t>
      </w:r>
      <w:r w:rsidR="00D33480" w:rsidRPr="000219CE">
        <w:t xml:space="preserve"> </w:t>
      </w:r>
      <w:hyperlink r:id="rId17" w:history="1">
        <w:r w:rsidR="00726625" w:rsidRPr="00E53472">
          <w:rPr>
            <w:rStyle w:val="Hyperlink"/>
          </w:rPr>
          <w:t>http://elibrary</w:t>
        </w:r>
        <w:r w:rsidR="00E53472" w:rsidRPr="00E53472">
          <w:rPr>
            <w:rStyle w:val="Hyperlink"/>
          </w:rPr>
          <w:noBreakHyphen/>
        </w:r>
        <w:r w:rsidR="00726625" w:rsidRPr="00E53472">
          <w:rPr>
            <w:rStyle w:val="Hyperlink"/>
          </w:rPr>
          <w:t>data.imf.org</w:t>
        </w:r>
      </w:hyperlink>
      <w:r w:rsidR="00726625" w:rsidRPr="000219CE">
        <w:t xml:space="preserve">; IMF 2014, </w:t>
      </w:r>
      <w:r w:rsidR="00726625" w:rsidRPr="000219CE">
        <w:rPr>
          <w:i/>
        </w:rPr>
        <w:t>India Country Report</w:t>
      </w:r>
      <w:r w:rsidR="00726625" w:rsidRPr="000219CE">
        <w:t xml:space="preserve"> No. 14/57, </w:t>
      </w:r>
      <w:r w:rsidR="00D610F5" w:rsidRPr="000219CE">
        <w:t>viewed</w:t>
      </w:r>
      <w:r w:rsidR="00726625" w:rsidRPr="000219CE">
        <w:t xml:space="preserve"> 22 </w:t>
      </w:r>
      <w:r w:rsidR="00861028" w:rsidRPr="000219CE">
        <w:t>January 2015</w:t>
      </w:r>
      <w:r w:rsidR="00D610F5" w:rsidRPr="000219CE">
        <w:t>:</w:t>
      </w:r>
      <w:r w:rsidR="00157DC2" w:rsidRPr="000219CE">
        <w:t xml:space="preserve"> </w:t>
      </w:r>
      <w:r w:rsidR="00726625" w:rsidRPr="00E53472">
        <w:rPr>
          <w:rStyle w:val="Hyperlink"/>
        </w:rPr>
        <w:t>www.imf.org/external/pubs/ft/scr/2014/cr1457.pdf</w:t>
      </w:r>
      <w:r w:rsidR="00E53472">
        <w:t>.</w:t>
      </w:r>
    </w:p>
    <w:p w14:paraId="3B0D830A" w14:textId="28D6D86A" w:rsidR="006F4A90" w:rsidRPr="009A09B1" w:rsidRDefault="00A544F9" w:rsidP="00705842">
      <w:pPr>
        <w:pStyle w:val="Heading3"/>
        <w:spacing w:before="360"/>
      </w:pPr>
      <w:bookmarkStart w:id="47" w:name="_Toc404346728"/>
      <w:bookmarkStart w:id="48" w:name="_Toc409532959"/>
      <w:r w:rsidRPr="009A09B1">
        <w:t xml:space="preserve">Australia </w:t>
      </w:r>
      <w:r w:rsidR="005B1A47" w:rsidRPr="009A09B1">
        <w:t>re</w:t>
      </w:r>
      <w:r w:rsidR="006F4A90" w:rsidRPr="009A09B1">
        <w:t>l</w:t>
      </w:r>
      <w:r w:rsidRPr="009A09B1">
        <w:t>ies</w:t>
      </w:r>
      <w:r w:rsidR="006F4A90" w:rsidRPr="009A09B1">
        <w:t xml:space="preserve"> more on </w:t>
      </w:r>
      <w:r w:rsidR="00064D86" w:rsidRPr="009A09B1">
        <w:t xml:space="preserve">corporate and </w:t>
      </w:r>
      <w:r w:rsidR="00514207" w:rsidRPr="009A09B1">
        <w:t>individuals</w:t>
      </w:r>
      <w:r w:rsidR="00064D86" w:rsidRPr="009A09B1">
        <w:t xml:space="preserve"> </w:t>
      </w:r>
      <w:r w:rsidR="006F4A90" w:rsidRPr="009A09B1">
        <w:t>income taxes</w:t>
      </w:r>
      <w:r w:rsidR="00D85A2B" w:rsidRPr="009A09B1">
        <w:t xml:space="preserve"> </w:t>
      </w:r>
      <w:r w:rsidR="006F4A90" w:rsidRPr="009A09B1">
        <w:t xml:space="preserve">than other </w:t>
      </w:r>
      <w:r w:rsidR="00E32999" w:rsidRPr="009A09B1">
        <w:t xml:space="preserve">developed </w:t>
      </w:r>
      <w:r w:rsidR="006F4A90" w:rsidRPr="009A09B1">
        <w:t>countries</w:t>
      </w:r>
      <w:bookmarkEnd w:id="47"/>
      <w:bookmarkEnd w:id="48"/>
    </w:p>
    <w:p w14:paraId="28514F3A" w14:textId="261D8B44" w:rsidR="001F27A9" w:rsidRPr="009A09B1" w:rsidRDefault="001F27A9" w:rsidP="001F27A9">
      <w:r w:rsidRPr="009A09B1">
        <w:t xml:space="preserve">Australia has a comprehensive </w:t>
      </w:r>
      <w:r w:rsidR="00486BB0" w:rsidRPr="009A09B1">
        <w:t xml:space="preserve">framework </w:t>
      </w:r>
      <w:r w:rsidRPr="009A09B1">
        <w:t>of broad</w:t>
      </w:r>
      <w:r w:rsidR="00E53472">
        <w:noBreakHyphen/>
      </w:r>
      <w:r w:rsidRPr="009A09B1">
        <w:t>based taxes. Taxes levied on income from</w:t>
      </w:r>
      <w:r w:rsidR="00950DDA" w:rsidRPr="009A09B1">
        <w:t xml:space="preserve"> inputs to</w:t>
      </w:r>
      <w:r w:rsidRPr="009A09B1">
        <w:t xml:space="preserve"> production (</w:t>
      </w:r>
      <w:r w:rsidR="0021576F" w:rsidRPr="009A09B1">
        <w:t xml:space="preserve">that is </w:t>
      </w:r>
      <w:r w:rsidRPr="009A09B1">
        <w:t xml:space="preserve">labour, capital and land) include </w:t>
      </w:r>
      <w:r w:rsidR="00514207" w:rsidRPr="009A09B1">
        <w:t>individuals</w:t>
      </w:r>
      <w:r w:rsidRPr="009A09B1">
        <w:t xml:space="preserve"> income tax</w:t>
      </w:r>
      <w:r w:rsidR="00BD0440" w:rsidRPr="009A09B1">
        <w:t>,</w:t>
      </w:r>
      <w:r w:rsidRPr="009A09B1">
        <w:t xml:space="preserve"> company income tax</w:t>
      </w:r>
      <w:r w:rsidR="00BD0440" w:rsidRPr="009A09B1">
        <w:t>,</w:t>
      </w:r>
      <w:r w:rsidRPr="009A09B1">
        <w:t xml:space="preserve"> tax on superannuation funds</w:t>
      </w:r>
      <w:r w:rsidR="00BD0440" w:rsidRPr="009A09B1">
        <w:t>,</w:t>
      </w:r>
      <w:r w:rsidRPr="009A09B1">
        <w:t xml:space="preserve"> land tax</w:t>
      </w:r>
      <w:r w:rsidR="00BD0440" w:rsidRPr="009A09B1">
        <w:t>,</w:t>
      </w:r>
      <w:r w:rsidR="005869A2" w:rsidRPr="009A09B1">
        <w:t xml:space="preserve"> and</w:t>
      </w:r>
      <w:r w:rsidRPr="009A09B1">
        <w:t xml:space="preserve"> resource rent taxes</w:t>
      </w:r>
      <w:r w:rsidR="00AC472D" w:rsidRPr="009A09B1">
        <w:t xml:space="preserve">. </w:t>
      </w:r>
    </w:p>
    <w:p w14:paraId="5259318C" w14:textId="3BC3CE26" w:rsidR="001F27A9" w:rsidRPr="000219CE" w:rsidRDefault="001F27A9" w:rsidP="001F27A9">
      <w:r w:rsidRPr="009A09B1">
        <w:t xml:space="preserve">Australia relies more heavily on income taxes </w:t>
      </w:r>
      <w:r w:rsidR="00064D86" w:rsidRPr="009A09B1">
        <w:t xml:space="preserve">on </w:t>
      </w:r>
      <w:r w:rsidR="00A544F9" w:rsidRPr="009A09B1">
        <w:t xml:space="preserve">company </w:t>
      </w:r>
      <w:r w:rsidR="00064D86" w:rsidRPr="009A09B1">
        <w:t xml:space="preserve">and </w:t>
      </w:r>
      <w:r w:rsidR="00514207" w:rsidRPr="009A09B1">
        <w:t>individual</w:t>
      </w:r>
      <w:r w:rsidR="00064D86" w:rsidRPr="009A09B1">
        <w:t xml:space="preserve"> </w:t>
      </w:r>
      <w:r w:rsidRPr="009A09B1">
        <w:t xml:space="preserve">income </w:t>
      </w:r>
      <w:r w:rsidR="00514207" w:rsidRPr="009A09B1">
        <w:t xml:space="preserve">(often termed </w:t>
      </w:r>
      <w:r w:rsidR="00E53472">
        <w:t>‘</w:t>
      </w:r>
      <w:r w:rsidR="00514207" w:rsidRPr="009A09B1">
        <w:t>personal income tax</w:t>
      </w:r>
      <w:r w:rsidR="00E53472">
        <w:t>’</w:t>
      </w:r>
      <w:r w:rsidR="00514207" w:rsidRPr="009A09B1">
        <w:t xml:space="preserve">, including by the OECD) </w:t>
      </w:r>
      <w:r w:rsidRPr="009A09B1">
        <w:t xml:space="preserve">than other </w:t>
      </w:r>
      <w:r w:rsidR="00E32999" w:rsidRPr="009A09B1">
        <w:t xml:space="preserve">developed </w:t>
      </w:r>
      <w:r w:rsidRPr="009A09B1">
        <w:t>countries</w:t>
      </w:r>
      <w:r w:rsidR="009D0589">
        <w:t xml:space="preserve"> </w:t>
      </w:r>
      <w:r w:rsidRPr="009A09B1">
        <w:t>(</w:t>
      </w:r>
      <w:r w:rsidR="00705842" w:rsidRPr="009A09B1">
        <w:fldChar w:fldCharType="begin"/>
      </w:r>
      <w:r w:rsidR="00705842" w:rsidRPr="009A09B1">
        <w:instrText xml:space="preserve"> REF _Ref404345776 \h </w:instrText>
      </w:r>
      <w:r w:rsidR="00A721DC" w:rsidRPr="009A09B1">
        <w:instrText xml:space="preserve"> \* MERGEFORMAT </w:instrText>
      </w:r>
      <w:r w:rsidR="00705842" w:rsidRPr="009A09B1">
        <w:fldChar w:fldCharType="separate"/>
      </w:r>
      <w:r w:rsidR="0068169D" w:rsidRPr="000219CE">
        <w:t xml:space="preserve">Chart </w:t>
      </w:r>
      <w:r w:rsidR="0068169D">
        <w:rPr>
          <w:noProof/>
        </w:rPr>
        <w:t>2</w:t>
      </w:r>
      <w:r w:rsidR="0068169D" w:rsidRPr="000219CE">
        <w:rPr>
          <w:noProof/>
        </w:rPr>
        <w:t>.</w:t>
      </w:r>
      <w:r w:rsidR="0068169D">
        <w:rPr>
          <w:noProof/>
        </w:rPr>
        <w:t>3</w:t>
      </w:r>
      <w:r w:rsidR="00705842" w:rsidRPr="009A09B1">
        <w:fldChar w:fldCharType="end"/>
      </w:r>
      <w:r w:rsidRPr="009A09B1">
        <w:t xml:space="preserve">). </w:t>
      </w:r>
      <w:r w:rsidR="00514207" w:rsidRPr="009A09B1">
        <w:t>I</w:t>
      </w:r>
      <w:r w:rsidRPr="009A09B1">
        <w:t>ncome tax levied on individuals comprise</w:t>
      </w:r>
      <w:r w:rsidR="00147B41" w:rsidRPr="009A09B1">
        <w:t>d</w:t>
      </w:r>
      <w:r w:rsidRPr="009A09B1">
        <w:t xml:space="preserve"> </w:t>
      </w:r>
      <w:r w:rsidR="004C5447" w:rsidRPr="009A09B1">
        <w:t>39.</w:t>
      </w:r>
      <w:r w:rsidR="005538BE" w:rsidRPr="009A09B1">
        <w:t>2</w:t>
      </w:r>
      <w:r w:rsidR="00705842" w:rsidRPr="009A09B1">
        <w:t> per </w:t>
      </w:r>
      <w:r w:rsidRPr="009A09B1">
        <w:t xml:space="preserve">cent of total tax </w:t>
      </w:r>
      <w:r w:rsidR="006F4A90" w:rsidRPr="009A09B1">
        <w:t>r</w:t>
      </w:r>
      <w:r w:rsidRPr="009A09B1">
        <w:t>evenue in</w:t>
      </w:r>
      <w:r w:rsidR="00D55EBB" w:rsidRPr="009A09B1">
        <w:t xml:space="preserve"> </w:t>
      </w:r>
      <w:r w:rsidR="004C5447" w:rsidRPr="009A09B1">
        <w:t>201</w:t>
      </w:r>
      <w:r w:rsidR="005538BE" w:rsidRPr="009A09B1">
        <w:t>2</w:t>
      </w:r>
      <w:r w:rsidRPr="009A09B1">
        <w:t>, while co</w:t>
      </w:r>
      <w:r w:rsidR="00514207" w:rsidRPr="009A09B1">
        <w:t>rporate</w:t>
      </w:r>
      <w:r w:rsidRPr="009A09B1">
        <w:t xml:space="preserve"> tax</w:t>
      </w:r>
      <w:r w:rsidR="00514207" w:rsidRPr="009A09B1">
        <w:t>es</w:t>
      </w:r>
      <w:r w:rsidRPr="009A09B1">
        <w:t xml:space="preserve"> comprise</w:t>
      </w:r>
      <w:r w:rsidR="00147B41" w:rsidRPr="009A09B1">
        <w:t>d</w:t>
      </w:r>
      <w:r w:rsidRPr="009A09B1">
        <w:t xml:space="preserve"> </w:t>
      </w:r>
      <w:r w:rsidR="004C5447" w:rsidRPr="009A09B1">
        <w:t>1</w:t>
      </w:r>
      <w:r w:rsidR="005538BE" w:rsidRPr="009A09B1">
        <w:t>8</w:t>
      </w:r>
      <w:r w:rsidR="004C5447" w:rsidRPr="009A09B1">
        <w:t>.</w:t>
      </w:r>
      <w:r w:rsidR="005538BE" w:rsidRPr="009A09B1">
        <w:t>9</w:t>
      </w:r>
      <w:r w:rsidR="00705842" w:rsidRPr="009A09B1">
        <w:t> per </w:t>
      </w:r>
      <w:r w:rsidRPr="009A09B1">
        <w:t xml:space="preserve">cent of total tax revenue in </w:t>
      </w:r>
      <w:r w:rsidR="004C5447" w:rsidRPr="009A09B1">
        <w:t>201</w:t>
      </w:r>
      <w:r w:rsidR="005538BE" w:rsidRPr="009A09B1">
        <w:t>2</w:t>
      </w:r>
      <w:r w:rsidRPr="009A09B1">
        <w:t xml:space="preserve">, </w:t>
      </w:r>
      <w:r w:rsidR="00147B41" w:rsidRPr="009A09B1">
        <w:t xml:space="preserve">among </w:t>
      </w:r>
      <w:r w:rsidRPr="009A09B1">
        <w:t xml:space="preserve">the highest in the </w:t>
      </w:r>
      <w:r w:rsidR="00E32999" w:rsidRPr="009A09B1">
        <w:t xml:space="preserve">developed world </w:t>
      </w:r>
      <w:r w:rsidR="00486BB0" w:rsidRPr="009A09B1">
        <w:t xml:space="preserve">and significantly higher than </w:t>
      </w:r>
      <w:r w:rsidR="00A14898" w:rsidRPr="009A09B1">
        <w:t xml:space="preserve">some </w:t>
      </w:r>
      <w:r w:rsidR="00486BB0" w:rsidRPr="009A09B1">
        <w:t>key regional compe</w:t>
      </w:r>
      <w:r w:rsidR="00486BB0" w:rsidRPr="00A14898">
        <w:t>titors</w:t>
      </w:r>
      <w:r w:rsidRPr="000219CE">
        <w:t>.</w:t>
      </w:r>
    </w:p>
    <w:p w14:paraId="3F52ECCA" w14:textId="4ACBD7FE" w:rsidR="00676B12" w:rsidRPr="000219CE" w:rsidRDefault="00F37E7D" w:rsidP="00F37E7D">
      <w:pPr>
        <w:pStyle w:val="ChartMainHeading"/>
      </w:pPr>
      <w:bookmarkStart w:id="49" w:name="_Ref404345776"/>
      <w:proofErr w:type="gramStart"/>
      <w:r w:rsidRPr="000219CE">
        <w:lastRenderedPageBreak/>
        <w:t xml:space="preserve">Chart </w:t>
      </w:r>
      <w:fldSimple w:instr=" STYLEREF 1 \s ">
        <w:r w:rsidR="0068169D">
          <w:rPr>
            <w:noProof/>
          </w:rPr>
          <w:t>2</w:t>
        </w:r>
      </w:fldSimple>
      <w:r w:rsidR="007B4589" w:rsidRPr="000219CE">
        <w:t>.</w:t>
      </w:r>
      <w:proofErr w:type="gramEnd"/>
      <w:r w:rsidR="0068169D">
        <w:fldChar w:fldCharType="begin"/>
      </w:r>
      <w:r w:rsidR="0068169D">
        <w:instrText xml:space="preserve"> SEQ Chart \* ARABIC \s 1 </w:instrText>
      </w:r>
      <w:r w:rsidR="0068169D">
        <w:fldChar w:fldCharType="separate"/>
      </w:r>
      <w:r w:rsidR="0068169D">
        <w:rPr>
          <w:noProof/>
        </w:rPr>
        <w:t>3</w:t>
      </w:r>
      <w:r w:rsidR="0068169D">
        <w:rPr>
          <w:noProof/>
        </w:rPr>
        <w:fldChar w:fldCharType="end"/>
      </w:r>
      <w:bookmarkEnd w:id="49"/>
      <w:r w:rsidR="00193D08" w:rsidRPr="000219CE">
        <w:t xml:space="preserve"> </w:t>
      </w:r>
      <w:r w:rsidR="001B71EE" w:rsidRPr="000219CE">
        <w:t>T</w:t>
      </w:r>
      <w:r w:rsidR="005B40B5" w:rsidRPr="000219CE">
        <w:t>axes</w:t>
      </w:r>
      <w:r w:rsidR="00676B12" w:rsidRPr="000219CE">
        <w:t xml:space="preserve"> </w:t>
      </w:r>
      <w:r w:rsidR="00C16F0D" w:rsidRPr="000219CE">
        <w:t xml:space="preserve">on corporate and personal income </w:t>
      </w:r>
      <w:r w:rsidR="00676B12" w:rsidRPr="000219CE">
        <w:t>as a percentage of</w:t>
      </w:r>
      <w:r w:rsidR="00193D08" w:rsidRPr="000219CE">
        <w:t xml:space="preserve"> </w:t>
      </w:r>
      <w:r w:rsidR="00676B12" w:rsidRPr="000219CE">
        <w:t>total tax</w:t>
      </w:r>
      <w:r w:rsidR="002164CB" w:rsidRPr="000219CE">
        <w:t>ation</w:t>
      </w:r>
      <w:r w:rsidR="00676B12" w:rsidRPr="000219CE">
        <w:t xml:space="preserve">, </w:t>
      </w:r>
      <w:r w:rsidR="00B615E9" w:rsidRPr="000219CE">
        <w:br/>
      </w:r>
      <w:r w:rsidR="00F11CAC">
        <w:t xml:space="preserve">for </w:t>
      </w:r>
      <w:r w:rsidR="00193D08" w:rsidRPr="000219CE">
        <w:t xml:space="preserve">OECD </w:t>
      </w:r>
      <w:r w:rsidR="009544CA" w:rsidRPr="000219CE">
        <w:t xml:space="preserve">and </w:t>
      </w:r>
      <w:r w:rsidR="007F410A" w:rsidRPr="000219CE">
        <w:t xml:space="preserve">selected </w:t>
      </w:r>
      <w:r w:rsidR="009544CA" w:rsidRPr="000219CE">
        <w:t xml:space="preserve">Asian </w:t>
      </w:r>
      <w:r w:rsidR="009A09B1" w:rsidRPr="00C649D6">
        <w:t>economies</w:t>
      </w:r>
      <w:r w:rsidR="00193D08" w:rsidRPr="000219CE">
        <w:t xml:space="preserve">, </w:t>
      </w:r>
      <w:r w:rsidR="00676B12" w:rsidRPr="000219CE">
        <w:t>201</w:t>
      </w:r>
      <w:r w:rsidR="00561F5D" w:rsidRPr="000219CE">
        <w:t>2</w:t>
      </w:r>
    </w:p>
    <w:bookmarkStart w:id="50" w:name="_1483447605"/>
    <w:bookmarkStart w:id="51" w:name="_1484576160"/>
    <w:bookmarkStart w:id="52" w:name="_1484576331"/>
    <w:bookmarkStart w:id="53" w:name="_1488364362"/>
    <w:bookmarkEnd w:id="50"/>
    <w:bookmarkEnd w:id="51"/>
    <w:bookmarkEnd w:id="52"/>
    <w:bookmarkEnd w:id="53"/>
    <w:p w14:paraId="7D6E59CC" w14:textId="1320AF0A" w:rsidR="00C53691" w:rsidRPr="000219CE" w:rsidRDefault="00AF5B02" w:rsidP="00697F64">
      <w:pPr>
        <w:pStyle w:val="ChartGraphic"/>
      </w:pPr>
      <w:r>
        <w:object w:dxaOrig="8775" w:dyaOrig="4530" w14:anchorId="4E96959A">
          <v:shape id="_x0000_i1027" type="#_x0000_t75" alt="Chart 2.3 Taxes on corporate and personal income as a percentage of total taxation, OECD and selected Asian economies, 2012&#10;This chart shows income taxation as a share of total taxation across 34 OECD countries and six other Asian economies (Malaysia, Hong Kong, Singapore, Indonesia, India and China) in 2012. Of the 34 OECD countries, income taxation as a share of total taxation is highest in Denmark and second highest in Australia. This chart also disaggregates income taxation into the taxes on corporate income, personal income and other (not able to be allocated between corporate and personal income) across these countries. Compared to the six non -OECD economies, Australia has higher income taxation as a share of total taxation than Singapore, Indonesia, India and China.&#10;" style="width:438.9pt;height:226.7pt" o:ole="">
            <v:imagedata r:id="rId18" o:title=""/>
          </v:shape>
          <o:OLEObject Type="Link" ProgID="Excel.Sheet.12" ShapeID="_x0000_i1027" DrawAspect="Content" r:id="rId19" UpdateMode="Always">
            <o:LinkType>EnhancedMetaFile</o:LinkType>
            <o:LockedField/>
          </o:OLEObject>
        </w:object>
      </w:r>
    </w:p>
    <w:p w14:paraId="20E59A14" w14:textId="5F5108DF" w:rsidR="00F37E7D" w:rsidRPr="000219CE" w:rsidRDefault="00EC27FD" w:rsidP="009D0589">
      <w:pPr>
        <w:pStyle w:val="ChartandTableNote"/>
        <w:spacing w:before="40"/>
        <w:ind w:left="284"/>
      </w:pPr>
      <w:r w:rsidRPr="000219CE">
        <w:t>Note:</w:t>
      </w:r>
      <w:r w:rsidR="00AC472D" w:rsidRPr="000219CE">
        <w:t xml:space="preserve"> </w:t>
      </w:r>
      <w:r w:rsidR="00F44BB5" w:rsidRPr="00F44BB5">
        <w:t xml:space="preserve">Taxes on income are based on the OECD (series 1000) and IMF classifications (series 11). </w:t>
      </w:r>
      <w:r w:rsidR="00F44BB5">
        <w:t>Estimate</w:t>
      </w:r>
      <w:r w:rsidR="00F44BB5" w:rsidRPr="00F44BB5">
        <w:t xml:space="preserve">s for China, Hong Kong and Singapore </w:t>
      </w:r>
      <w:r w:rsidR="00F44BB5">
        <w:t>have been prepared</w:t>
      </w:r>
      <w:r w:rsidR="00F44BB5" w:rsidRPr="00F44BB5">
        <w:t xml:space="preserve"> </w:t>
      </w:r>
      <w:r w:rsidR="00F44BB5">
        <w:t xml:space="preserve">using </w:t>
      </w:r>
      <w:r w:rsidR="00F44BB5" w:rsidRPr="00F44BB5">
        <w:t>the IMF</w:t>
      </w:r>
      <w:r w:rsidR="00E53472">
        <w:t>’</w:t>
      </w:r>
      <w:r w:rsidR="00F44BB5" w:rsidRPr="00F44BB5">
        <w:t>s Government Finance Statistics</w:t>
      </w:r>
      <w:r w:rsidR="00F44BB5">
        <w:t xml:space="preserve">, while estimates for India have been prepared using the </w:t>
      </w:r>
      <w:r w:rsidR="00983E8A">
        <w:t>CMIE</w:t>
      </w:r>
      <w:r w:rsidR="00F44BB5">
        <w:t xml:space="preserve"> database</w:t>
      </w:r>
      <w:r w:rsidR="00F44BB5" w:rsidRPr="00F44BB5">
        <w:t xml:space="preserve">. </w:t>
      </w:r>
      <w:r w:rsidR="00F44BB5">
        <w:t xml:space="preserve">These estimates are not directly comparable to OECD statistics. </w:t>
      </w:r>
      <w:r w:rsidR="00F44BB5" w:rsidRPr="00F44BB5">
        <w:t xml:space="preserve">Unlike the OECD, the IMF does not classify social security contributions as a tax. To improve comparability with OECD statistics, total taxation estimates </w:t>
      </w:r>
      <w:r w:rsidR="000E1A3D">
        <w:t xml:space="preserve">are </w:t>
      </w:r>
      <w:r w:rsidR="00F44BB5" w:rsidRPr="00F44BB5">
        <w:t xml:space="preserve">prepared </w:t>
      </w:r>
      <w:r w:rsidR="000E1A3D">
        <w:t>using</w:t>
      </w:r>
      <w:r w:rsidR="00F44BB5" w:rsidRPr="00F44BB5">
        <w:t xml:space="preserve"> IMF data </w:t>
      </w:r>
      <w:r w:rsidR="000E1A3D">
        <w:t>but</w:t>
      </w:r>
      <w:r w:rsidR="00F44BB5">
        <w:t xml:space="preserve"> </w:t>
      </w:r>
      <w:r w:rsidR="00F44BB5" w:rsidRPr="00F44BB5">
        <w:t>inclusive of social security contributions. Statistics for China are for 2011 and for India are for 2011</w:t>
      </w:r>
      <w:r w:rsidR="00E53472">
        <w:noBreakHyphen/>
      </w:r>
      <w:r w:rsidR="00F44BB5" w:rsidRPr="00F44BB5">
        <w:t>12.</w:t>
      </w:r>
    </w:p>
    <w:p w14:paraId="71D974DE" w14:textId="10E94326" w:rsidR="00BA1AAB" w:rsidRPr="000219CE" w:rsidRDefault="00F776AB" w:rsidP="00DA306C">
      <w:pPr>
        <w:pStyle w:val="ChartandTableNote"/>
        <w:ind w:left="284"/>
      </w:pPr>
      <w:bookmarkStart w:id="54" w:name="_Toc402326854"/>
      <w:bookmarkStart w:id="55" w:name="_Toc402333506"/>
      <w:bookmarkStart w:id="56" w:name="_Toc402340282"/>
      <w:bookmarkStart w:id="57" w:name="_Toc402343377"/>
      <w:bookmarkStart w:id="58" w:name="_Toc402346613"/>
      <w:bookmarkStart w:id="59" w:name="_Toc404346729"/>
      <w:r w:rsidRPr="000219CE">
        <w:t xml:space="preserve">Source: OECD 2014, </w:t>
      </w:r>
      <w:r w:rsidRPr="00F341A5">
        <w:rPr>
          <w:i/>
        </w:rPr>
        <w:t>Revenue Statistics 2014</w:t>
      </w:r>
      <w:r w:rsidRPr="000219CE">
        <w:t xml:space="preserve">, OECD Publications, Paris; OECD 2014, </w:t>
      </w:r>
      <w:r w:rsidRPr="00F341A5">
        <w:rPr>
          <w:i/>
        </w:rPr>
        <w:t>Revenue Statistics in Asian Countries: Trends in Indonesia and Malaysia</w:t>
      </w:r>
      <w:r w:rsidRPr="000219CE">
        <w:t>, OECD</w:t>
      </w:r>
      <w:r w:rsidR="00C3638B" w:rsidRPr="000219CE">
        <w:t xml:space="preserve"> Publications</w:t>
      </w:r>
      <w:r w:rsidRPr="000219CE">
        <w:t xml:space="preserve">, Paris; IMF 2014, </w:t>
      </w:r>
      <w:r w:rsidRPr="00F341A5">
        <w:rPr>
          <w:i/>
        </w:rPr>
        <w:t>Government Finance Statistics Yearbook</w:t>
      </w:r>
      <w:r w:rsidR="00894B40" w:rsidRPr="000219CE">
        <w:t>, view</w:t>
      </w:r>
      <w:r w:rsidRPr="000219CE">
        <w:t xml:space="preserve">ed 21 </w:t>
      </w:r>
      <w:r w:rsidR="00B84B6E" w:rsidRPr="000219CE">
        <w:t>January</w:t>
      </w:r>
      <w:r w:rsidRPr="000219CE">
        <w:t xml:space="preserve"> 2014</w:t>
      </w:r>
      <w:r w:rsidR="00894B40" w:rsidRPr="000219CE">
        <w:t>:</w:t>
      </w:r>
      <w:r w:rsidRPr="000219CE">
        <w:t xml:space="preserve"> </w:t>
      </w:r>
      <w:hyperlink r:id="rId20" w:history="1">
        <w:r w:rsidR="003D7ABD" w:rsidRPr="00E53472">
          <w:rPr>
            <w:rStyle w:val="Hyperlink"/>
          </w:rPr>
          <w:t>http://elibrary</w:t>
        </w:r>
        <w:r w:rsidR="00E53472" w:rsidRPr="00E53472">
          <w:rPr>
            <w:rStyle w:val="Hyperlink"/>
          </w:rPr>
          <w:noBreakHyphen/>
        </w:r>
        <w:r w:rsidR="003D7ABD" w:rsidRPr="00E53472">
          <w:rPr>
            <w:rStyle w:val="Hyperlink"/>
          </w:rPr>
          <w:t>data.imf.org</w:t>
        </w:r>
      </w:hyperlink>
      <w:r w:rsidR="003A4981" w:rsidRPr="000219CE">
        <w:t xml:space="preserve">; IMF 2014, </w:t>
      </w:r>
      <w:r w:rsidR="003A4981" w:rsidRPr="00F341A5">
        <w:rPr>
          <w:i/>
        </w:rPr>
        <w:t>Government Finance Statistics</w:t>
      </w:r>
      <w:r w:rsidR="003A4981" w:rsidRPr="000219CE">
        <w:t xml:space="preserve">, Mimas, University of Manchester, </w:t>
      </w:r>
      <w:r w:rsidR="00894B40" w:rsidRPr="000219CE">
        <w:t>view</w:t>
      </w:r>
      <w:r w:rsidR="003A4981" w:rsidRPr="000219CE">
        <w:t xml:space="preserve">ed 21 </w:t>
      </w:r>
      <w:r w:rsidR="00D33D86" w:rsidRPr="000219CE">
        <w:t>J</w:t>
      </w:r>
      <w:r w:rsidR="00B84B6E" w:rsidRPr="000219CE">
        <w:t>an</w:t>
      </w:r>
      <w:r w:rsidR="00D33D86" w:rsidRPr="000219CE">
        <w:t>u</w:t>
      </w:r>
      <w:r w:rsidR="00B84B6E" w:rsidRPr="000219CE">
        <w:t>a</w:t>
      </w:r>
      <w:r w:rsidR="00D33D86" w:rsidRPr="000219CE">
        <w:t>ry</w:t>
      </w:r>
      <w:r w:rsidR="003A4981" w:rsidRPr="000219CE">
        <w:t xml:space="preserve"> 201</w:t>
      </w:r>
      <w:r w:rsidR="00D33D86" w:rsidRPr="000219CE">
        <w:t>5</w:t>
      </w:r>
      <w:r w:rsidR="00894B40" w:rsidRPr="000219CE">
        <w:t>:</w:t>
      </w:r>
      <w:r w:rsidR="003A4981" w:rsidRPr="000219CE">
        <w:t xml:space="preserve"> </w:t>
      </w:r>
      <w:hyperlink r:id="rId21" w:history="1">
        <w:r w:rsidR="00C3638B" w:rsidRPr="00E53472">
          <w:rPr>
            <w:rStyle w:val="Hyperlink"/>
          </w:rPr>
          <w:t>http://ukdataservice.ac.uk/help/get</w:t>
        </w:r>
        <w:r w:rsidR="00E53472" w:rsidRPr="00E53472">
          <w:rPr>
            <w:rStyle w:val="Hyperlink"/>
          </w:rPr>
          <w:noBreakHyphen/>
        </w:r>
        <w:r w:rsidR="00C3638B" w:rsidRPr="00E53472">
          <w:rPr>
            <w:rStyle w:val="Hyperlink"/>
          </w:rPr>
          <w:t>in</w:t>
        </w:r>
        <w:r w:rsidR="00E53472" w:rsidRPr="00E53472">
          <w:rPr>
            <w:rStyle w:val="Hyperlink"/>
          </w:rPr>
          <w:noBreakHyphen/>
        </w:r>
        <w:r w:rsidR="00C3638B" w:rsidRPr="00E53472">
          <w:rPr>
            <w:rStyle w:val="Hyperlink"/>
          </w:rPr>
          <w:t>touch.aspx</w:t>
        </w:r>
      </w:hyperlink>
      <w:r w:rsidR="00C3638B" w:rsidRPr="00E53472">
        <w:t>;</w:t>
      </w:r>
      <w:r w:rsidR="00C3638B" w:rsidRPr="000219CE">
        <w:t xml:space="preserve"> Treasury</w:t>
      </w:r>
      <w:r w:rsidR="00894B40" w:rsidRPr="000219CE">
        <w:t xml:space="preserve"> calculations using CMIE 2014, viewed 23 </w:t>
      </w:r>
      <w:r w:rsidR="00D610F5" w:rsidRPr="000219CE">
        <w:t>Jan</w:t>
      </w:r>
      <w:r w:rsidR="00B84B6E" w:rsidRPr="000219CE">
        <w:t>u</w:t>
      </w:r>
      <w:r w:rsidR="00D610F5" w:rsidRPr="000219CE">
        <w:t>a</w:t>
      </w:r>
      <w:r w:rsidR="00B84B6E" w:rsidRPr="000219CE">
        <w:t>ry</w:t>
      </w:r>
      <w:r w:rsidR="00D33D86" w:rsidRPr="000219CE">
        <w:t xml:space="preserve"> 2015</w:t>
      </w:r>
      <w:r w:rsidR="00894B40" w:rsidRPr="00E53472">
        <w:rPr>
          <w:rStyle w:val="Hyperlink"/>
        </w:rPr>
        <w:t>:</w:t>
      </w:r>
      <w:r w:rsidR="00D33D86" w:rsidRPr="00E53472">
        <w:rPr>
          <w:rStyle w:val="Hyperlink"/>
        </w:rPr>
        <w:t xml:space="preserve"> </w:t>
      </w:r>
      <w:hyperlink r:id="rId22" w:history="1">
        <w:r w:rsidR="00157DC2" w:rsidRPr="00E53472">
          <w:rPr>
            <w:rStyle w:val="Hyperlink"/>
          </w:rPr>
          <w:t>http://economicoutlook.cmie.com</w:t>
        </w:r>
      </w:hyperlink>
      <w:r w:rsidR="00E53472">
        <w:rPr>
          <w:rStyle w:val="Hyperlink"/>
          <w:color w:val="000000" w:themeColor="text1"/>
        </w:rPr>
        <w:t>.</w:t>
      </w:r>
    </w:p>
    <w:p w14:paraId="2FE4A550" w14:textId="77777777" w:rsidR="00157DC2" w:rsidRPr="000219CE" w:rsidRDefault="00157DC2" w:rsidP="00157DC2"/>
    <w:bookmarkEnd w:id="54"/>
    <w:bookmarkEnd w:id="55"/>
    <w:bookmarkEnd w:id="56"/>
    <w:bookmarkEnd w:id="57"/>
    <w:bookmarkEnd w:id="58"/>
    <w:bookmarkEnd w:id="59"/>
    <w:p w14:paraId="320B3AEB" w14:textId="3B290A4D" w:rsidR="00236E55" w:rsidRPr="009A09B1" w:rsidRDefault="00064D86" w:rsidP="001F27A9">
      <w:r w:rsidRPr="009A09B1">
        <w:t xml:space="preserve">Unlike most other </w:t>
      </w:r>
      <w:r w:rsidR="00A14898" w:rsidRPr="009A09B1">
        <w:t xml:space="preserve">developed </w:t>
      </w:r>
      <w:r w:rsidRPr="009A09B1">
        <w:t xml:space="preserve">countries, Australia does not </w:t>
      </w:r>
      <w:r w:rsidR="00A14898" w:rsidRPr="009A09B1">
        <w:t>levy social security contributions</w:t>
      </w:r>
      <w:r w:rsidRPr="009A09B1">
        <w:t>.</w:t>
      </w:r>
      <w:r w:rsidR="00A14898" w:rsidRPr="009A09B1">
        <w:t xml:space="preserve"> Compulsory social security contributions </w:t>
      </w:r>
      <w:r w:rsidR="00600FF5" w:rsidRPr="009A09B1">
        <w:t xml:space="preserve">tend to be levied at a flat rate on earnings, </w:t>
      </w:r>
      <w:r w:rsidR="00236E55" w:rsidRPr="009A09B1">
        <w:t>unlike the progressive tax rate scale applied to income</w:t>
      </w:r>
      <w:r w:rsidR="001C717C" w:rsidRPr="009A09B1">
        <w:t xml:space="preserve"> earned by individuals</w:t>
      </w:r>
      <w:r w:rsidR="00600FF5" w:rsidRPr="009A09B1">
        <w:t xml:space="preserve">. In OECD countries, social security contributions </w:t>
      </w:r>
      <w:r w:rsidR="00236E55" w:rsidRPr="009A09B1">
        <w:t>on average comprise one quarter of total taxation, but make up over 40 per cent of total taxation in some countries (such as Japan and the Netherlands).</w:t>
      </w:r>
    </w:p>
    <w:p w14:paraId="26AFA62C" w14:textId="44703246" w:rsidR="00600FF5" w:rsidRPr="009A09B1" w:rsidRDefault="00236E55" w:rsidP="001F27A9">
      <w:r w:rsidRPr="009A09B1">
        <w:t>Although Australia does not have any compulsory social security contributions, the state</w:t>
      </w:r>
      <w:r w:rsidR="00EC166D" w:rsidRPr="009A09B1">
        <w:t>s</w:t>
      </w:r>
      <w:r w:rsidRPr="009A09B1">
        <w:t xml:space="preserve"> and territories do levy</w:t>
      </w:r>
      <w:r w:rsidR="00600FF5" w:rsidRPr="009A09B1">
        <w:t xml:space="preserve"> </w:t>
      </w:r>
      <w:r w:rsidRPr="009A09B1">
        <w:t>payroll tax on employee remuneration above a threshold.</w:t>
      </w:r>
      <w:r w:rsidR="00600FF5" w:rsidRPr="009A09B1">
        <w:t xml:space="preserve"> </w:t>
      </w:r>
      <w:r w:rsidRPr="009A09B1">
        <w:t xml:space="preserve">This is another form of direct taxation. </w:t>
      </w:r>
      <w:r w:rsidR="00EC166D" w:rsidRPr="009A09B1">
        <w:t xml:space="preserve">Although </w:t>
      </w:r>
      <w:r w:rsidRPr="009A09B1">
        <w:t xml:space="preserve">Australia relies more on payroll tax than other OECD countries, this </w:t>
      </w:r>
      <w:r w:rsidR="00EC166D" w:rsidRPr="009A09B1">
        <w:t xml:space="preserve">only </w:t>
      </w:r>
      <w:r w:rsidRPr="009A09B1">
        <w:t>c</w:t>
      </w:r>
      <w:r w:rsidR="00EC166D" w:rsidRPr="009A09B1">
        <w:t>omprised</w:t>
      </w:r>
      <w:r w:rsidRPr="009A09B1">
        <w:t xml:space="preserve"> </w:t>
      </w:r>
      <w:r w:rsidR="00EC166D" w:rsidRPr="009A09B1">
        <w:t>five per cent of taxation in Australia in 2012</w:t>
      </w:r>
      <w:r w:rsidR="00A14898" w:rsidRPr="009A09B1">
        <w:t>.</w:t>
      </w:r>
    </w:p>
    <w:p w14:paraId="1EB7EFDD" w14:textId="353ABE60" w:rsidR="00EC166D" w:rsidRDefault="00E84531" w:rsidP="001F27A9">
      <w:r w:rsidRPr="009A09B1">
        <w:t>D</w:t>
      </w:r>
      <w:r w:rsidR="00EC166D" w:rsidRPr="009A09B1">
        <w:t xml:space="preserve">irect </w:t>
      </w:r>
      <w:r w:rsidRPr="009A09B1">
        <w:t xml:space="preserve">forms of </w:t>
      </w:r>
      <w:r w:rsidR="00EC166D" w:rsidRPr="009A09B1">
        <w:t>taxation</w:t>
      </w:r>
      <w:r w:rsidR="009D0589">
        <w:t xml:space="preserve"> — </w:t>
      </w:r>
      <w:r w:rsidR="001C717C" w:rsidRPr="009A09B1">
        <w:t>individuals</w:t>
      </w:r>
      <w:r w:rsidR="00EC166D" w:rsidRPr="009A09B1">
        <w:t xml:space="preserve"> and corporate income taxes, compulsory s</w:t>
      </w:r>
      <w:r w:rsidRPr="009A09B1">
        <w:t>ocial security contributions plus</w:t>
      </w:r>
      <w:r w:rsidR="00EC166D" w:rsidRPr="009A09B1">
        <w:t xml:space="preserve"> payroll taxes</w:t>
      </w:r>
      <w:r w:rsidR="009D0589">
        <w:t xml:space="preserve"> — </w:t>
      </w:r>
      <w:r w:rsidRPr="009A09B1">
        <w:t xml:space="preserve">comprise around </w:t>
      </w:r>
      <w:r w:rsidR="004529CA" w:rsidRPr="009A09B1">
        <w:t>63 per cent of taxation in Australia</w:t>
      </w:r>
      <w:r w:rsidRPr="009A09B1">
        <w:t xml:space="preserve">. </w:t>
      </w:r>
      <w:r w:rsidR="004529CA" w:rsidRPr="009A09B1">
        <w:t>This</w:t>
      </w:r>
      <w:r w:rsidR="008B7E8B" w:rsidRPr="009A09B1">
        <w:t xml:space="preserve"> compares </w:t>
      </w:r>
      <w:r w:rsidR="004529CA" w:rsidRPr="009A09B1">
        <w:t xml:space="preserve">to the OECD average for direct taxes of 61 per cent </w:t>
      </w:r>
      <w:r w:rsidR="00F36978" w:rsidRPr="009A09B1">
        <w:t>(Chart 2.4</w:t>
      </w:r>
      <w:r w:rsidRPr="009A09B1">
        <w:t>)</w:t>
      </w:r>
      <w:r w:rsidR="008B7E8B" w:rsidRPr="009A09B1">
        <w:t>.</w:t>
      </w:r>
    </w:p>
    <w:p w14:paraId="3DD89D5F" w14:textId="77777777" w:rsidR="00514207" w:rsidRDefault="00514207" w:rsidP="001F27A9"/>
    <w:p w14:paraId="7EC407CA" w14:textId="3CF39358" w:rsidR="00600FF5" w:rsidRPr="000219CE" w:rsidRDefault="00600FF5" w:rsidP="00600FF5">
      <w:pPr>
        <w:pStyle w:val="ChartMainHeading"/>
      </w:pPr>
      <w:proofErr w:type="gramStart"/>
      <w:r w:rsidRPr="009A09B1">
        <w:lastRenderedPageBreak/>
        <w:t xml:space="preserve">Chart </w:t>
      </w:r>
      <w:fldSimple w:instr=" STYLEREF 1 \s ">
        <w:r w:rsidR="0068169D">
          <w:rPr>
            <w:noProof/>
          </w:rPr>
          <w:t>2</w:t>
        </w:r>
      </w:fldSimple>
      <w:r w:rsidRPr="009A09B1">
        <w:t>.</w:t>
      </w:r>
      <w:proofErr w:type="gramEnd"/>
      <w:r w:rsidR="0068169D">
        <w:fldChar w:fldCharType="begin"/>
      </w:r>
      <w:r w:rsidR="0068169D">
        <w:instrText xml:space="preserve"> SEQ Chart \* ARABIC \s 1 </w:instrText>
      </w:r>
      <w:r w:rsidR="0068169D">
        <w:fldChar w:fldCharType="separate"/>
      </w:r>
      <w:r w:rsidR="0068169D">
        <w:rPr>
          <w:noProof/>
        </w:rPr>
        <w:t>4</w:t>
      </w:r>
      <w:r w:rsidR="0068169D">
        <w:rPr>
          <w:noProof/>
        </w:rPr>
        <w:fldChar w:fldCharType="end"/>
      </w:r>
      <w:r w:rsidRPr="009A09B1">
        <w:t xml:space="preserve"> </w:t>
      </w:r>
      <w:r w:rsidR="003D05D7" w:rsidRPr="009A09B1">
        <w:t>Direct t</w:t>
      </w:r>
      <w:r w:rsidRPr="009A09B1">
        <w:t xml:space="preserve">axes as a percentage of total taxation, </w:t>
      </w:r>
      <w:r w:rsidR="00F11CAC">
        <w:t xml:space="preserve">for </w:t>
      </w:r>
      <w:r w:rsidRPr="009A09B1">
        <w:t xml:space="preserve">OECD </w:t>
      </w:r>
      <w:r w:rsidR="009A09B1" w:rsidRPr="000219CE">
        <w:t>and selected Asian</w:t>
      </w:r>
      <w:r w:rsidR="009D0589">
        <w:t> </w:t>
      </w:r>
      <w:r w:rsidR="009A09B1" w:rsidRPr="00C649D6">
        <w:t>economies</w:t>
      </w:r>
      <w:r w:rsidRPr="009A09B1">
        <w:t>, 2012</w:t>
      </w:r>
    </w:p>
    <w:bookmarkStart w:id="60" w:name="_1488352132"/>
    <w:bookmarkStart w:id="61" w:name="_1488364419"/>
    <w:bookmarkEnd w:id="60"/>
    <w:bookmarkEnd w:id="61"/>
    <w:p w14:paraId="66EB7FB4" w14:textId="5042EBE5" w:rsidR="00064D86" w:rsidRDefault="00AF5B02" w:rsidP="00175E69">
      <w:pPr>
        <w:pStyle w:val="ChartGraphic"/>
      </w:pPr>
      <w:r>
        <w:object w:dxaOrig="8761" w:dyaOrig="4156" w14:anchorId="368B58CA">
          <v:shape id="_x0000_i1028" type="#_x0000_t75" alt="Chart 2.4 Direct taxes as a percentage of total taxation, OECD and selected &#10;Asian economies, 2012&#10;This chart shows direct taxation as a share of total taxation across 34 OECD countries and six other Asian economies (Malaysia, Hong Kong, Singapore, Indonesia, India and China) in 2012. Direct forms of taxation — individuals and corporate income taxes, compulsory social security contributions plus payroll taxes — comprised around 63 per cent of taxation in Australia, compared to an OECD average of 61 per cent. Compared to the six non -OECD economies, Australia has higher direct taxation as a share of total taxation than China, India, Indonesia and Singapore.&#10;" style="width:438.15pt;height:207.55pt" o:ole="">
            <v:imagedata r:id="rId23" o:title=""/>
          </v:shape>
          <o:OLEObject Type="Link" ProgID="Excel.Sheet.12" ShapeID="_x0000_i1028" DrawAspect="Content" r:id="rId24" UpdateMode="Always">
            <o:LinkType>EnhancedMetaFile</o:LinkType>
            <o:LockedField/>
          </o:OLEObject>
        </w:object>
      </w:r>
    </w:p>
    <w:p w14:paraId="1D1C51B5" w14:textId="7BC66B6A" w:rsidR="003D05D7" w:rsidRPr="000219CE" w:rsidRDefault="003D05D7" w:rsidP="00DA306C">
      <w:pPr>
        <w:pStyle w:val="ChartandTableNote"/>
        <w:ind w:left="284"/>
      </w:pPr>
      <w:r w:rsidRPr="000219CE">
        <w:t xml:space="preserve">Note:  </w:t>
      </w:r>
      <w:r>
        <w:t>Direct t</w:t>
      </w:r>
      <w:r w:rsidRPr="000219CE">
        <w:t xml:space="preserve">axes </w:t>
      </w:r>
      <w:r>
        <w:t>include personal and corporate income taxes (</w:t>
      </w:r>
      <w:r w:rsidR="00F137F4">
        <w:t xml:space="preserve">OECD </w:t>
      </w:r>
      <w:r>
        <w:t>series 1000), social security contributions (</w:t>
      </w:r>
      <w:r w:rsidR="00F137F4">
        <w:t xml:space="preserve">OECD </w:t>
      </w:r>
      <w:r>
        <w:t>series 2000) and payroll and workforce taxes (</w:t>
      </w:r>
      <w:r w:rsidR="00F137F4">
        <w:t xml:space="preserve">OECD </w:t>
      </w:r>
      <w:r>
        <w:t xml:space="preserve">series 3000), but does not include </w:t>
      </w:r>
      <w:r w:rsidRPr="000219CE">
        <w:t>other compulsory non</w:t>
      </w:r>
      <w:r w:rsidR="00E53472">
        <w:noBreakHyphen/>
      </w:r>
      <w:r w:rsidRPr="000219CE">
        <w:t>tax payments (such as the Superannuation Guarantee).</w:t>
      </w:r>
      <w:r w:rsidR="00C466C3">
        <w:t xml:space="preserve"> </w:t>
      </w:r>
      <w:r w:rsidR="00983E8A">
        <w:t>Estimate</w:t>
      </w:r>
      <w:r w:rsidR="00983E8A" w:rsidRPr="00F44BB5">
        <w:t>s for Chin</w:t>
      </w:r>
      <w:r w:rsidR="00892C85">
        <w:t>a, Hong </w:t>
      </w:r>
      <w:r w:rsidR="00983E8A" w:rsidRPr="00F44BB5">
        <w:t xml:space="preserve">Kong and Singapore </w:t>
      </w:r>
      <w:r w:rsidR="00983E8A">
        <w:t>have been prepared</w:t>
      </w:r>
      <w:r w:rsidR="00983E8A" w:rsidRPr="00F44BB5">
        <w:t xml:space="preserve"> </w:t>
      </w:r>
      <w:r w:rsidR="00983E8A">
        <w:t xml:space="preserve">using </w:t>
      </w:r>
      <w:r w:rsidR="00983E8A" w:rsidRPr="00F44BB5">
        <w:t>the IMF</w:t>
      </w:r>
      <w:r w:rsidR="00E53472">
        <w:t>’</w:t>
      </w:r>
      <w:r w:rsidR="00983E8A" w:rsidRPr="00F44BB5">
        <w:t>s Government Finance Statistics</w:t>
      </w:r>
      <w:r w:rsidR="00983E8A">
        <w:t>, while estimates for India have been prepared using the CMIE database</w:t>
      </w:r>
      <w:r w:rsidR="00983E8A" w:rsidRPr="00F44BB5">
        <w:t xml:space="preserve">. </w:t>
      </w:r>
      <w:r w:rsidR="00983E8A">
        <w:t xml:space="preserve">These estimates are not directly comparable to OECD statistics. </w:t>
      </w:r>
      <w:r w:rsidR="00983E8A" w:rsidRPr="00F44BB5">
        <w:t xml:space="preserve">Unlike the OECD, the IMF does not classify social security contributions as a tax. To improve comparability with OECD statistics, </w:t>
      </w:r>
      <w:r w:rsidR="00892C85">
        <w:t xml:space="preserve">direct and </w:t>
      </w:r>
      <w:r w:rsidR="00983E8A" w:rsidRPr="00F44BB5">
        <w:t xml:space="preserve">total taxation estimates </w:t>
      </w:r>
      <w:r w:rsidR="00983E8A">
        <w:t xml:space="preserve">are </w:t>
      </w:r>
      <w:r w:rsidR="00983E8A" w:rsidRPr="00F44BB5">
        <w:t xml:space="preserve">prepared </w:t>
      </w:r>
      <w:r w:rsidR="00983E8A">
        <w:t>using</w:t>
      </w:r>
      <w:r w:rsidR="00983E8A" w:rsidRPr="00F44BB5">
        <w:t xml:space="preserve"> IMF data </w:t>
      </w:r>
      <w:r w:rsidR="00983E8A">
        <w:t xml:space="preserve">but </w:t>
      </w:r>
      <w:r w:rsidR="00983E8A" w:rsidRPr="00F44BB5">
        <w:t xml:space="preserve">inclusive of social security contributions. Statistics for China are for </w:t>
      </w:r>
      <w:r w:rsidR="00892C85">
        <w:t>2011 and for India are for 2011</w:t>
      </w:r>
      <w:r w:rsidR="00E53472">
        <w:noBreakHyphen/>
      </w:r>
      <w:r w:rsidR="00983E8A" w:rsidRPr="00F44BB5">
        <w:t>12.</w:t>
      </w:r>
    </w:p>
    <w:p w14:paraId="1D675827" w14:textId="5CCD2439" w:rsidR="003D05D7" w:rsidRPr="00E53472" w:rsidRDefault="00C466C3" w:rsidP="00DA306C">
      <w:pPr>
        <w:pStyle w:val="ChartandTableNote"/>
        <w:ind w:left="284"/>
      </w:pPr>
      <w:r w:rsidRPr="000219CE">
        <w:t xml:space="preserve">Source: OECD 2014, </w:t>
      </w:r>
      <w:r w:rsidRPr="00F341A5">
        <w:rPr>
          <w:i/>
        </w:rPr>
        <w:t>Revenue Statistics 2014</w:t>
      </w:r>
      <w:r w:rsidRPr="000219CE">
        <w:t xml:space="preserve">, OECD Publications, Paris; OECD 2014, </w:t>
      </w:r>
      <w:r w:rsidRPr="00F341A5">
        <w:rPr>
          <w:i/>
        </w:rPr>
        <w:t>Revenue Statistics in Asian Countries: Trends in Indonesia and Malaysia</w:t>
      </w:r>
      <w:r w:rsidRPr="000219CE">
        <w:t xml:space="preserve">, OECD Publications, Paris; IMF 2014, </w:t>
      </w:r>
      <w:r w:rsidRPr="00F341A5">
        <w:rPr>
          <w:i/>
        </w:rPr>
        <w:t>Government Finance Statistics Yearbook</w:t>
      </w:r>
      <w:r w:rsidRPr="000219CE">
        <w:t>, viewed 21 January 2014</w:t>
      </w:r>
      <w:r w:rsidRPr="00E53472">
        <w:t xml:space="preserve">: </w:t>
      </w:r>
      <w:hyperlink r:id="rId25" w:history="1">
        <w:r w:rsidR="00E872C0" w:rsidRPr="00E53472">
          <w:rPr>
            <w:rStyle w:val="Hyperlink"/>
          </w:rPr>
          <w:t>http://elibrary</w:t>
        </w:r>
        <w:r w:rsidR="00E53472" w:rsidRPr="00E53472">
          <w:rPr>
            <w:rStyle w:val="Hyperlink"/>
          </w:rPr>
          <w:noBreakHyphen/>
        </w:r>
        <w:r w:rsidR="00E872C0" w:rsidRPr="00E53472">
          <w:rPr>
            <w:rStyle w:val="Hyperlink"/>
          </w:rPr>
          <w:t>data.imf.org</w:t>
        </w:r>
      </w:hyperlink>
      <w:r w:rsidRPr="000219CE">
        <w:t xml:space="preserve">; IMF 2014, </w:t>
      </w:r>
      <w:r w:rsidRPr="00F341A5">
        <w:rPr>
          <w:i/>
        </w:rPr>
        <w:t>Government Finance Statistics</w:t>
      </w:r>
      <w:r w:rsidRPr="000219CE">
        <w:t>, Mimas, University of Manchester, view</w:t>
      </w:r>
      <w:r>
        <w:t xml:space="preserve">ed </w:t>
      </w:r>
      <w:r w:rsidRPr="000219CE">
        <w:t>1</w:t>
      </w:r>
      <w:r>
        <w:t>2</w:t>
      </w:r>
      <w:r w:rsidRPr="000219CE">
        <w:t xml:space="preserve"> </w:t>
      </w:r>
      <w:r>
        <w:t>March</w:t>
      </w:r>
      <w:r w:rsidRPr="000219CE">
        <w:t xml:space="preserve"> 2015: </w:t>
      </w:r>
      <w:hyperlink r:id="rId26" w:history="1">
        <w:r w:rsidRPr="00E53472">
          <w:rPr>
            <w:rStyle w:val="Hyperlink"/>
          </w:rPr>
          <w:t>http://ukdataservice.ac.uk/help/get</w:t>
        </w:r>
        <w:r w:rsidR="00E53472" w:rsidRPr="00E53472">
          <w:rPr>
            <w:rStyle w:val="Hyperlink"/>
          </w:rPr>
          <w:noBreakHyphen/>
        </w:r>
        <w:r w:rsidRPr="00E53472">
          <w:rPr>
            <w:rStyle w:val="Hyperlink"/>
          </w:rPr>
          <w:t>in</w:t>
        </w:r>
        <w:r w:rsidR="00E53472" w:rsidRPr="00E53472">
          <w:rPr>
            <w:rStyle w:val="Hyperlink"/>
          </w:rPr>
          <w:noBreakHyphen/>
        </w:r>
        <w:r w:rsidRPr="00E53472">
          <w:rPr>
            <w:rStyle w:val="Hyperlink"/>
          </w:rPr>
          <w:t>touch.aspx</w:t>
        </w:r>
      </w:hyperlink>
      <w:r w:rsidRPr="000219CE">
        <w:t>; Treasury calcu</w:t>
      </w:r>
      <w:r w:rsidR="006B3D4C">
        <w:t>lations using CMIE 2014, viewed</w:t>
      </w:r>
      <w:r w:rsidR="009D0589">
        <w:t xml:space="preserve"> 23 January </w:t>
      </w:r>
      <w:r w:rsidRPr="000219CE">
        <w:t xml:space="preserve">2015: </w:t>
      </w:r>
      <w:hyperlink r:id="rId27" w:history="1">
        <w:r w:rsidRPr="00E53472">
          <w:rPr>
            <w:rStyle w:val="Hyperlink"/>
          </w:rPr>
          <w:t>http://economicoutlook.cmie.com</w:t>
        </w:r>
      </w:hyperlink>
      <w:r w:rsidR="00E53472">
        <w:rPr>
          <w:rStyle w:val="Hyperlink"/>
          <w:color w:val="000000" w:themeColor="text1"/>
        </w:rPr>
        <w:t>.</w:t>
      </w:r>
    </w:p>
    <w:p w14:paraId="045D07E0" w14:textId="59896B8F" w:rsidR="003D05D7" w:rsidRPr="003D05D7" w:rsidRDefault="003D05D7" w:rsidP="00DC5024"/>
    <w:p w14:paraId="7D24C7B1" w14:textId="1B12AD39" w:rsidR="001F27A9" w:rsidRDefault="001F27A9" w:rsidP="009D0589">
      <w:r w:rsidRPr="000219CE">
        <w:t xml:space="preserve">Taxes on consumption include the </w:t>
      </w:r>
      <w:r w:rsidR="00126747" w:rsidRPr="000219CE">
        <w:t>g</w:t>
      </w:r>
      <w:r w:rsidR="0021576F" w:rsidRPr="000219CE">
        <w:t>oo</w:t>
      </w:r>
      <w:r w:rsidR="00950DDA" w:rsidRPr="000219CE">
        <w:t>d</w:t>
      </w:r>
      <w:r w:rsidR="0021576F" w:rsidRPr="000219CE">
        <w:t xml:space="preserve">s and </w:t>
      </w:r>
      <w:r w:rsidR="00126747" w:rsidRPr="000219CE">
        <w:t>s</w:t>
      </w:r>
      <w:r w:rsidR="0021576F" w:rsidRPr="000219CE">
        <w:t xml:space="preserve">ervices </w:t>
      </w:r>
      <w:r w:rsidR="00126747" w:rsidRPr="000219CE">
        <w:t>t</w:t>
      </w:r>
      <w:r w:rsidR="0021576F" w:rsidRPr="000219CE">
        <w:t>ax (</w:t>
      </w:r>
      <w:r w:rsidRPr="000219CE">
        <w:t>GST</w:t>
      </w:r>
      <w:r w:rsidR="0021576F" w:rsidRPr="000219CE">
        <w:t>)</w:t>
      </w:r>
      <w:r w:rsidR="00147B41" w:rsidRPr="000219CE">
        <w:t>,</w:t>
      </w:r>
      <w:r w:rsidRPr="000219CE">
        <w:t xml:space="preserve"> tariffs and customs duties levied on imported goods and excise levied on the domestic consumption of particular products (such as fuel, alcohol and tobacco). </w:t>
      </w:r>
      <w:r w:rsidR="00D85A2B" w:rsidRPr="000219CE">
        <w:t>Australia has a lower reliance on consumption taxes than most developed countries</w:t>
      </w:r>
      <w:r w:rsidR="00D57CB7" w:rsidRPr="000219CE">
        <w:t xml:space="preserve"> (Chart 2</w:t>
      </w:r>
      <w:r w:rsidR="00D85A2B" w:rsidRPr="000219CE">
        <w:t>.</w:t>
      </w:r>
      <w:r w:rsidR="003D05D7">
        <w:t>5</w:t>
      </w:r>
      <w:r w:rsidR="00D85A2B" w:rsidRPr="000219CE">
        <w:t>).</w:t>
      </w:r>
    </w:p>
    <w:p w14:paraId="6FA06474" w14:textId="72F2114A" w:rsidR="00064D86" w:rsidRPr="000219CE" w:rsidRDefault="00064D86" w:rsidP="001F27A9">
      <w:r w:rsidRPr="009A09B1">
        <w:t xml:space="preserve">State </w:t>
      </w:r>
      <w:r w:rsidR="0003065D" w:rsidRPr="009A09B1">
        <w:t>and territories also levy a range of property taxes, including stamp duties and land tax</w:t>
      </w:r>
      <w:r w:rsidRPr="009A09B1">
        <w:t xml:space="preserve">. </w:t>
      </w:r>
      <w:r w:rsidR="0003065D" w:rsidRPr="009A09B1">
        <w:t xml:space="preserve">Taxes on property comprise around 9 per cent of taxation in Australia in 2012, </w:t>
      </w:r>
      <w:r w:rsidR="008B7E8B" w:rsidRPr="009A09B1">
        <w:t>compared to</w:t>
      </w:r>
      <w:r w:rsidR="0003065D" w:rsidRPr="009A09B1">
        <w:t xml:space="preserve"> the OECD average of around 5 per cent.</w:t>
      </w:r>
    </w:p>
    <w:p w14:paraId="765043CF" w14:textId="3FBBA94A" w:rsidR="002164CB" w:rsidRPr="000219CE" w:rsidRDefault="00F37E7D" w:rsidP="00421BA0">
      <w:pPr>
        <w:pStyle w:val="ChartMainHeading"/>
        <w:keepLines/>
      </w:pPr>
      <w:proofErr w:type="gramStart"/>
      <w:r w:rsidRPr="000219CE">
        <w:lastRenderedPageBreak/>
        <w:t xml:space="preserve">Chart </w:t>
      </w:r>
      <w:fldSimple w:instr=" STYLEREF 1 \s ">
        <w:r w:rsidR="0068169D">
          <w:rPr>
            <w:noProof/>
          </w:rPr>
          <w:t>2</w:t>
        </w:r>
      </w:fldSimple>
      <w:r w:rsidR="007B4589" w:rsidRPr="000219CE">
        <w:t>.</w:t>
      </w:r>
      <w:proofErr w:type="gramEnd"/>
      <w:r w:rsidR="0068169D">
        <w:fldChar w:fldCharType="begin"/>
      </w:r>
      <w:r w:rsidR="0068169D">
        <w:instrText xml:space="preserve"> SEQ Chart \* ARABIC \s 1 </w:instrText>
      </w:r>
      <w:r w:rsidR="0068169D">
        <w:fldChar w:fldCharType="separate"/>
      </w:r>
      <w:r w:rsidR="0068169D">
        <w:rPr>
          <w:noProof/>
        </w:rPr>
        <w:t>5</w:t>
      </w:r>
      <w:r w:rsidR="0068169D">
        <w:rPr>
          <w:noProof/>
        </w:rPr>
        <w:fldChar w:fldCharType="end"/>
      </w:r>
      <w:r w:rsidR="002164CB" w:rsidRPr="000219CE">
        <w:t xml:space="preserve"> </w:t>
      </w:r>
      <w:r w:rsidR="000D2E1E" w:rsidRPr="000219CE">
        <w:t>C</w:t>
      </w:r>
      <w:r w:rsidR="002164CB" w:rsidRPr="000219CE">
        <w:t xml:space="preserve">onsumption taxes as a percentage of total taxation, </w:t>
      </w:r>
      <w:r w:rsidR="00F11CAC">
        <w:t xml:space="preserve">for </w:t>
      </w:r>
      <w:r w:rsidR="000D2E1E" w:rsidRPr="000219CE">
        <w:t xml:space="preserve">OECD </w:t>
      </w:r>
      <w:r w:rsidR="009C500D" w:rsidRPr="000219CE">
        <w:t xml:space="preserve">and </w:t>
      </w:r>
      <w:r w:rsidR="001A2DA2" w:rsidRPr="000219CE">
        <w:t xml:space="preserve">selected </w:t>
      </w:r>
      <w:r w:rsidR="009D0589">
        <w:t>Asian </w:t>
      </w:r>
      <w:r w:rsidR="009A09B1" w:rsidRPr="00C649D6">
        <w:t>economies</w:t>
      </w:r>
      <w:r w:rsidR="000D2E1E" w:rsidRPr="000219CE">
        <w:t xml:space="preserve">, </w:t>
      </w:r>
      <w:r w:rsidR="002164CB" w:rsidRPr="000219CE">
        <w:t>201</w:t>
      </w:r>
      <w:r w:rsidR="00561F5D" w:rsidRPr="000219CE">
        <w:t>2</w:t>
      </w:r>
    </w:p>
    <w:bookmarkStart w:id="62" w:name="_1483447608"/>
    <w:bookmarkStart w:id="63" w:name="_1483537592"/>
    <w:bookmarkStart w:id="64" w:name="_1484576162"/>
    <w:bookmarkStart w:id="65" w:name="_1484576333"/>
    <w:bookmarkStart w:id="66" w:name="_1486291924"/>
    <w:bookmarkStart w:id="67" w:name="_1487161849"/>
    <w:bookmarkStart w:id="68" w:name="_1488352135"/>
    <w:bookmarkEnd w:id="62"/>
    <w:bookmarkEnd w:id="63"/>
    <w:bookmarkEnd w:id="64"/>
    <w:bookmarkEnd w:id="65"/>
    <w:bookmarkEnd w:id="66"/>
    <w:bookmarkEnd w:id="67"/>
    <w:bookmarkEnd w:id="68"/>
    <w:p w14:paraId="004647A7" w14:textId="1C72DE4D" w:rsidR="002164CB" w:rsidRPr="000219CE" w:rsidRDefault="00AF5B02" w:rsidP="00E21B65">
      <w:pPr>
        <w:pStyle w:val="ChartGraphic"/>
      </w:pPr>
      <w:r>
        <w:object w:dxaOrig="8775" w:dyaOrig="4440" w14:anchorId="74538B47">
          <v:shape id="_x0000_i1029" type="#_x0000_t75" alt="Chart 2.5 Consumption taxes as a percentage of total taxation, OECD and selected &#10;Asian economies, 2012&#10;This chart shows consumption taxation as a share of total taxation across the 34 OECD countries and six other Asian economies in 2012. Consumption taxes comprised 28.1 per cent of total taxation in Australia, which was higher than ten OECD countries (such as the United States, Japan and Canada) and two non-OECD Asian economies (Malaysia and Hong Kong), but lower than the OECD average of 32.8 per cent. &#10;" style="width:438.9pt;height:222.15pt" o:ole="">
            <v:imagedata r:id="rId28" o:title=""/>
          </v:shape>
          <o:OLEObject Type="Link" ProgID="Excel.Sheet.12" ShapeID="_x0000_i1029" DrawAspect="Content" r:id="rId29" UpdateMode="Always">
            <o:LinkType>EnhancedMetaFile</o:LinkType>
            <o:LockedField/>
          </o:OLEObject>
        </w:object>
      </w:r>
    </w:p>
    <w:p w14:paraId="0A069A3D" w14:textId="3DED0105" w:rsidR="00970073" w:rsidRPr="000219CE" w:rsidRDefault="009D0589" w:rsidP="00421BA0">
      <w:pPr>
        <w:pStyle w:val="ChartandTableNote"/>
        <w:keepNext/>
        <w:keepLines/>
        <w:ind w:left="284"/>
      </w:pPr>
      <w:r>
        <w:t xml:space="preserve">Note: </w:t>
      </w:r>
      <w:r w:rsidR="003D7268" w:rsidRPr="000219CE">
        <w:t xml:space="preserve">Taxes on goods and services are based on the OECD (series 5000) and IMF classifications (series 14). </w:t>
      </w:r>
      <w:r w:rsidR="00B97931">
        <w:t>Estimate</w:t>
      </w:r>
      <w:r w:rsidR="00B97931" w:rsidRPr="00F44BB5">
        <w:t xml:space="preserve">s for China, Hong Kong and Singapore </w:t>
      </w:r>
      <w:r w:rsidR="00B97931">
        <w:t>have been prepared</w:t>
      </w:r>
      <w:r w:rsidR="00B97931" w:rsidRPr="00F44BB5">
        <w:t xml:space="preserve"> </w:t>
      </w:r>
      <w:r w:rsidR="00B97931">
        <w:t xml:space="preserve">using </w:t>
      </w:r>
      <w:r w:rsidR="00B97931" w:rsidRPr="00F44BB5">
        <w:t>the IMF</w:t>
      </w:r>
      <w:r w:rsidR="00E53472">
        <w:t>’</w:t>
      </w:r>
      <w:r w:rsidR="00B97931" w:rsidRPr="00F44BB5">
        <w:t>s Government Finance Statistics</w:t>
      </w:r>
      <w:r w:rsidR="00B97931">
        <w:t>, while estimates for India have been prepared using the CMIE database</w:t>
      </w:r>
      <w:r w:rsidR="00B97931" w:rsidRPr="00F44BB5">
        <w:t xml:space="preserve">. </w:t>
      </w:r>
      <w:r w:rsidR="00B97931">
        <w:t xml:space="preserve">These estimates are not directly comparable to OECD statistics. </w:t>
      </w:r>
      <w:r w:rsidR="00B97931" w:rsidRPr="00F44BB5">
        <w:t xml:space="preserve">Unlike the OECD, the IMF does not classify social security contributions as a tax. To improve comparability with OECD statistics, total taxation estimates </w:t>
      </w:r>
      <w:r w:rsidR="00B97931">
        <w:t xml:space="preserve">are </w:t>
      </w:r>
      <w:r w:rsidR="00B97931" w:rsidRPr="00F44BB5">
        <w:t xml:space="preserve">prepared </w:t>
      </w:r>
      <w:r w:rsidR="00B97931">
        <w:t>using</w:t>
      </w:r>
      <w:r w:rsidR="00B97931" w:rsidRPr="00F44BB5">
        <w:t xml:space="preserve"> IMF data </w:t>
      </w:r>
      <w:r w:rsidR="00B97931">
        <w:t xml:space="preserve">but </w:t>
      </w:r>
      <w:r w:rsidR="00B97931" w:rsidRPr="00F44BB5">
        <w:t>inclusive of social security contributions. Statistics for China are for 2011 and for India are for 2011</w:t>
      </w:r>
      <w:r w:rsidR="00E53472">
        <w:noBreakHyphen/>
      </w:r>
      <w:r w:rsidR="00B97931" w:rsidRPr="00F44BB5">
        <w:t>12.</w:t>
      </w:r>
    </w:p>
    <w:p w14:paraId="4E62A1B0" w14:textId="1AA508AC" w:rsidR="004B037F" w:rsidRPr="000219CE" w:rsidRDefault="00CE4886" w:rsidP="00157DC2">
      <w:pPr>
        <w:pStyle w:val="ChartandTableNote"/>
        <w:ind w:left="284"/>
      </w:pPr>
      <w:r w:rsidRPr="000219CE">
        <w:t xml:space="preserve">Source: OECD 2014, </w:t>
      </w:r>
      <w:r w:rsidRPr="000219CE">
        <w:rPr>
          <w:i/>
        </w:rPr>
        <w:t>Revenue Statistics 2014</w:t>
      </w:r>
      <w:r w:rsidRPr="000219CE">
        <w:t xml:space="preserve">, OECD Publications, Paris; OECD 2014, </w:t>
      </w:r>
      <w:r w:rsidRPr="000219CE">
        <w:rPr>
          <w:i/>
        </w:rPr>
        <w:t>Revenue Statistics in Asian Countries: Trends in Indonesia and Malaysia</w:t>
      </w:r>
      <w:r w:rsidRPr="000219CE">
        <w:t xml:space="preserve">, OECD Publications, Paris; IMF 2014, </w:t>
      </w:r>
      <w:r w:rsidRPr="000219CE">
        <w:rPr>
          <w:i/>
        </w:rPr>
        <w:t>Government Finance Statistics Yearbook</w:t>
      </w:r>
      <w:r w:rsidRPr="000219CE">
        <w:t xml:space="preserve">, </w:t>
      </w:r>
      <w:r w:rsidR="00444845" w:rsidRPr="000219CE">
        <w:t>view</w:t>
      </w:r>
      <w:r w:rsidRPr="000219CE">
        <w:t xml:space="preserve">ed 21 </w:t>
      </w:r>
      <w:r w:rsidR="00D00DAE" w:rsidRPr="000219CE">
        <w:t>January</w:t>
      </w:r>
      <w:r w:rsidR="00444845" w:rsidRPr="000219CE">
        <w:t xml:space="preserve"> 2014:</w:t>
      </w:r>
      <w:r w:rsidRPr="000219CE">
        <w:t xml:space="preserve"> </w:t>
      </w:r>
      <w:r w:rsidRPr="00E872C0">
        <w:rPr>
          <w:color w:val="31A7D4" w:themeColor="accent1"/>
        </w:rPr>
        <w:t>http://elibrary</w:t>
      </w:r>
      <w:r w:rsidR="00E53472">
        <w:rPr>
          <w:color w:val="31A7D4" w:themeColor="accent1"/>
        </w:rPr>
        <w:noBreakHyphen/>
      </w:r>
      <w:r w:rsidRPr="00E872C0">
        <w:rPr>
          <w:color w:val="31A7D4" w:themeColor="accent1"/>
        </w:rPr>
        <w:t>data.imf.org</w:t>
      </w:r>
      <w:r w:rsidRPr="000219CE">
        <w:t xml:space="preserve">; IMF 2014, </w:t>
      </w:r>
      <w:r w:rsidRPr="000219CE">
        <w:rPr>
          <w:i/>
        </w:rPr>
        <w:t>Government Finance Statistics</w:t>
      </w:r>
      <w:r w:rsidRPr="000219CE">
        <w:t xml:space="preserve">, Mimas, University of Manchester, </w:t>
      </w:r>
      <w:r w:rsidR="00444845" w:rsidRPr="000219CE">
        <w:t>view</w:t>
      </w:r>
      <w:r w:rsidRPr="000219CE">
        <w:t xml:space="preserve">ed 21 </w:t>
      </w:r>
      <w:r w:rsidR="00D00DAE" w:rsidRPr="000219CE">
        <w:t>January</w:t>
      </w:r>
      <w:r w:rsidR="00444845" w:rsidRPr="000219CE">
        <w:t xml:space="preserve"> 2014:</w:t>
      </w:r>
      <w:r w:rsidRPr="000219CE">
        <w:t xml:space="preserve"> </w:t>
      </w:r>
      <w:hyperlink r:id="rId30" w:history="1">
        <w:r w:rsidRPr="00E872C0">
          <w:rPr>
            <w:rStyle w:val="Hyperlink"/>
            <w:color w:val="31A7D4" w:themeColor="accent1"/>
          </w:rPr>
          <w:t>http://ukdataservice.ac.uk/help/get</w:t>
        </w:r>
        <w:r w:rsidR="00E53472">
          <w:rPr>
            <w:rStyle w:val="Hyperlink"/>
            <w:color w:val="31A7D4" w:themeColor="accent1"/>
          </w:rPr>
          <w:noBreakHyphen/>
        </w:r>
        <w:r w:rsidRPr="00E872C0">
          <w:rPr>
            <w:rStyle w:val="Hyperlink"/>
            <w:color w:val="31A7D4" w:themeColor="accent1"/>
          </w:rPr>
          <w:t>in</w:t>
        </w:r>
        <w:r w:rsidR="00E53472">
          <w:rPr>
            <w:rStyle w:val="Hyperlink"/>
            <w:color w:val="31A7D4" w:themeColor="accent1"/>
          </w:rPr>
          <w:noBreakHyphen/>
        </w:r>
        <w:r w:rsidRPr="00E872C0">
          <w:rPr>
            <w:rStyle w:val="Hyperlink"/>
            <w:color w:val="31A7D4" w:themeColor="accent1"/>
          </w:rPr>
          <w:t>touch.aspx</w:t>
        </w:r>
      </w:hyperlink>
      <w:r w:rsidRPr="000219CE">
        <w:t>; Treasury calculatio</w:t>
      </w:r>
      <w:r w:rsidR="00D00DAE" w:rsidRPr="000219CE">
        <w:t xml:space="preserve">ns using CMIE 2014, </w:t>
      </w:r>
      <w:r w:rsidR="00444845" w:rsidRPr="000219CE">
        <w:t>view</w:t>
      </w:r>
      <w:r w:rsidR="006B3D4C">
        <w:t>ed</w:t>
      </w:r>
      <w:r w:rsidR="009D0589">
        <w:t xml:space="preserve"> </w:t>
      </w:r>
      <w:r w:rsidR="00D00DAE" w:rsidRPr="000219CE">
        <w:t>23 January</w:t>
      </w:r>
      <w:r w:rsidR="009D0589">
        <w:t> </w:t>
      </w:r>
      <w:r w:rsidR="00444845" w:rsidRPr="000219CE">
        <w:t>2015:</w:t>
      </w:r>
      <w:r w:rsidR="00D00DAE" w:rsidRPr="000219CE">
        <w:t xml:space="preserve"> </w:t>
      </w:r>
      <w:hyperlink r:id="rId31" w:history="1">
        <w:r w:rsidR="00B615E9" w:rsidRPr="00E872C0">
          <w:rPr>
            <w:rStyle w:val="Hyperlink"/>
            <w:color w:val="31A7D4" w:themeColor="accent1"/>
          </w:rPr>
          <w:t>http://economicoutlook.cmie.com</w:t>
        </w:r>
      </w:hyperlink>
    </w:p>
    <w:p w14:paraId="737F22D5" w14:textId="77777777" w:rsidR="00B615E9" w:rsidRPr="000219CE" w:rsidRDefault="00B615E9" w:rsidP="00B615E9"/>
    <w:p w14:paraId="36EA8718" w14:textId="5D06BF64" w:rsidR="006F0997" w:rsidRPr="000219CE" w:rsidRDefault="006F0997" w:rsidP="00457D02">
      <w:pPr>
        <w:pStyle w:val="Heading3"/>
      </w:pPr>
      <w:bookmarkStart w:id="69" w:name="_Toc404346730"/>
      <w:bookmarkStart w:id="70" w:name="_Toc409532960"/>
      <w:r w:rsidRPr="000219CE">
        <w:t xml:space="preserve">The overall tax mix has </w:t>
      </w:r>
      <w:r w:rsidR="005B1A47" w:rsidRPr="000219CE">
        <w:t>not changed</w:t>
      </w:r>
      <w:r w:rsidRPr="000219CE">
        <w:t xml:space="preserve"> </w:t>
      </w:r>
      <w:r w:rsidR="00B4571B" w:rsidRPr="000219CE">
        <w:t xml:space="preserve">much </w:t>
      </w:r>
      <w:r w:rsidRPr="000219CE">
        <w:t>over the last few decades</w:t>
      </w:r>
      <w:r w:rsidR="005F1C35" w:rsidRPr="000219CE">
        <w:t xml:space="preserve"> while economic circumstances</w:t>
      </w:r>
      <w:r w:rsidR="005A0590" w:rsidRPr="000219CE">
        <w:t xml:space="preserve"> </w:t>
      </w:r>
      <w:r w:rsidR="005F1C35" w:rsidRPr="000219CE">
        <w:t>have changed</w:t>
      </w:r>
      <w:r w:rsidR="005A0590" w:rsidRPr="000219CE">
        <w:t xml:space="preserve"> significantly</w:t>
      </w:r>
      <w:bookmarkEnd w:id="69"/>
      <w:bookmarkEnd w:id="70"/>
    </w:p>
    <w:p w14:paraId="1108B2BA" w14:textId="4D292AFC" w:rsidR="005F1C35" w:rsidRPr="009A09B1" w:rsidRDefault="000E05F5" w:rsidP="001F27A9">
      <w:r>
        <w:t xml:space="preserve">At the federal level, </w:t>
      </w:r>
      <w:r w:rsidR="00885881" w:rsidRPr="009A09B1">
        <w:t>Australia</w:t>
      </w:r>
      <w:r w:rsidR="00E53472">
        <w:t>’</w:t>
      </w:r>
      <w:r w:rsidR="00885881" w:rsidRPr="009A09B1">
        <w:t xml:space="preserve">s overall tax mix has consistently favoured </w:t>
      </w:r>
      <w:r w:rsidR="00A37DC8" w:rsidRPr="009A09B1">
        <w:t>individuals</w:t>
      </w:r>
      <w:r w:rsidR="00A14898" w:rsidRPr="009A09B1">
        <w:t xml:space="preserve"> and corporate </w:t>
      </w:r>
      <w:r w:rsidR="00885881" w:rsidRPr="009A09B1">
        <w:t>income taxes</w:t>
      </w:r>
      <w:r w:rsidR="005A2070" w:rsidRPr="009A09B1">
        <w:t xml:space="preserve"> (</w:t>
      </w:r>
      <w:r w:rsidR="001628EE" w:rsidRPr="009A09B1">
        <w:t>Cha</w:t>
      </w:r>
      <w:r w:rsidR="00FD2CE6" w:rsidRPr="009A09B1">
        <w:t>rt 2.6</w:t>
      </w:r>
      <w:r w:rsidR="005A2070" w:rsidRPr="009A09B1">
        <w:t xml:space="preserve">). </w:t>
      </w:r>
      <w:r w:rsidR="00885881" w:rsidRPr="009A09B1">
        <w:t>The average tax mix through the</w:t>
      </w:r>
      <w:r w:rsidR="00E06608" w:rsidRPr="009A09B1">
        <w:t xml:space="preserve"> decade of the</w:t>
      </w:r>
      <w:r w:rsidR="00885881" w:rsidRPr="009A09B1">
        <w:t xml:space="preserve"> 1950s was weight</w:t>
      </w:r>
      <w:r w:rsidR="00E7692C" w:rsidRPr="009A09B1">
        <w:t>ed towards income taxes (60 per </w:t>
      </w:r>
      <w:r w:rsidR="00885881" w:rsidRPr="009A09B1">
        <w:t>cent of tax receipts). Income taxes now contribute around 70 per cent of tax receipts, noting that some of the increase is because of economic</w:t>
      </w:r>
      <w:r w:rsidR="006A017E" w:rsidRPr="009A09B1">
        <w:t xml:space="preserve"> factors, such as</w:t>
      </w:r>
      <w:r w:rsidR="00885881" w:rsidRPr="009A09B1">
        <w:t xml:space="preserve"> corporate profitability, rather than policy changes. Income tax reform in recent decades has focussed on broadening the income tax bases </w:t>
      </w:r>
      <w:r w:rsidR="00A544F9" w:rsidRPr="009A09B1">
        <w:t xml:space="preserve">and </w:t>
      </w:r>
      <w:r w:rsidR="00885881" w:rsidRPr="009A09B1">
        <w:t xml:space="preserve">lowering </w:t>
      </w:r>
      <w:r w:rsidR="00A544F9" w:rsidRPr="009A09B1">
        <w:t xml:space="preserve">income </w:t>
      </w:r>
      <w:r w:rsidR="00885881" w:rsidRPr="009A09B1">
        <w:t>tax rates, while indirect tax reform has reduced reliance on sales taxes and customs duties in favour of the GST. Policy changes have not, however, materially changed the overall mix of income tax compared to indirect tax.</w:t>
      </w:r>
    </w:p>
    <w:p w14:paraId="616D7714" w14:textId="6FC1CBA6" w:rsidR="00E00CEA" w:rsidRPr="000219CE" w:rsidRDefault="005A2070" w:rsidP="00E00CEA">
      <w:r w:rsidRPr="009A09B1">
        <w:t xml:space="preserve">Based on existing policy settings, </w:t>
      </w:r>
      <w:r w:rsidR="005F1C35" w:rsidRPr="009A09B1">
        <w:t>Australia</w:t>
      </w:r>
      <w:r w:rsidR="00E53472">
        <w:t>’</w:t>
      </w:r>
      <w:r w:rsidR="005F1C35" w:rsidRPr="009A09B1">
        <w:t>s reliance</w:t>
      </w:r>
      <w:r w:rsidRPr="009A09B1">
        <w:t xml:space="preserve"> on </w:t>
      </w:r>
      <w:proofErr w:type="gramStart"/>
      <w:r w:rsidR="00A37DC8" w:rsidRPr="009A09B1">
        <w:t>individuals</w:t>
      </w:r>
      <w:proofErr w:type="gramEnd"/>
      <w:r w:rsidR="00A14898" w:rsidRPr="009A09B1">
        <w:t xml:space="preserve"> </w:t>
      </w:r>
      <w:r w:rsidR="00A53D9D">
        <w:t>income tax</w:t>
      </w:r>
      <w:r w:rsidRPr="009A09B1">
        <w:t xml:space="preserve"> is projected to increase further over the next decade</w:t>
      </w:r>
      <w:r w:rsidR="00D6496A" w:rsidRPr="009A09B1">
        <w:t xml:space="preserve">, </w:t>
      </w:r>
      <w:r w:rsidR="00313263" w:rsidRPr="009A09B1">
        <w:t>largely as a result of wages growth</w:t>
      </w:r>
      <w:r w:rsidR="00313263" w:rsidRPr="000219CE">
        <w:t xml:space="preserve"> leading to individuals paying higher average rates of tax, known as </w:t>
      </w:r>
      <w:r w:rsidR="00E53472">
        <w:t>‘</w:t>
      </w:r>
      <w:r w:rsidR="00313263" w:rsidRPr="000219CE">
        <w:t>bracket creep</w:t>
      </w:r>
      <w:r w:rsidR="00E53472">
        <w:t>’</w:t>
      </w:r>
      <w:r w:rsidR="00313263" w:rsidRPr="000219CE">
        <w:t xml:space="preserve"> </w:t>
      </w:r>
      <w:r w:rsidR="008E6CCA" w:rsidRPr="000219CE">
        <w:t>(Box 2.2</w:t>
      </w:r>
      <w:r w:rsidR="00E00CEA" w:rsidRPr="000219CE">
        <w:t>)</w:t>
      </w:r>
      <w:r w:rsidRPr="000219CE">
        <w:t>.</w:t>
      </w:r>
      <w:r w:rsidR="00E00CEA" w:rsidRPr="000219CE">
        <w:t xml:space="preserve"> </w:t>
      </w:r>
    </w:p>
    <w:p w14:paraId="3BF0ED78" w14:textId="5DFEF1D6" w:rsidR="00845EA8" w:rsidRPr="000219CE" w:rsidRDefault="00845EA8" w:rsidP="00E00CEA">
      <w:r w:rsidRPr="000219CE">
        <w:t xml:space="preserve">As noted in Chapter 1, changes in the global economy mean that the flow of </w:t>
      </w:r>
      <w:r w:rsidR="001E54E4" w:rsidRPr="000219CE">
        <w:t xml:space="preserve">financial </w:t>
      </w:r>
      <w:r w:rsidRPr="000219CE">
        <w:t>capital and labour is becoming increasingly sensitive to Australia</w:t>
      </w:r>
      <w:r w:rsidR="00E53472">
        <w:t>’</w:t>
      </w:r>
      <w:r w:rsidRPr="000219CE">
        <w:t xml:space="preserve">s tax settings. </w:t>
      </w:r>
    </w:p>
    <w:p w14:paraId="1E1CD6BC" w14:textId="18B4B242" w:rsidR="008B1BA0" w:rsidRPr="000219CE" w:rsidRDefault="00F37E7D" w:rsidP="00B615E9">
      <w:pPr>
        <w:pStyle w:val="ChartMainHeading"/>
      </w:pPr>
      <w:bookmarkStart w:id="71" w:name="_Ref404346037"/>
      <w:proofErr w:type="gramStart"/>
      <w:r w:rsidRPr="000219CE">
        <w:lastRenderedPageBreak/>
        <w:t xml:space="preserve">Chart </w:t>
      </w:r>
      <w:fldSimple w:instr=" STYLEREF 1 \s ">
        <w:r w:rsidR="0068169D">
          <w:rPr>
            <w:noProof/>
          </w:rPr>
          <w:t>2</w:t>
        </w:r>
      </w:fldSimple>
      <w:r w:rsidR="007B4589" w:rsidRPr="000219CE">
        <w:t>.</w:t>
      </w:r>
      <w:proofErr w:type="gramEnd"/>
      <w:r w:rsidR="0068169D">
        <w:fldChar w:fldCharType="begin"/>
      </w:r>
      <w:r w:rsidR="0068169D">
        <w:instrText xml:space="preserve"> SEQ Chart \* ARABIC \s 1 </w:instrText>
      </w:r>
      <w:r w:rsidR="0068169D">
        <w:fldChar w:fldCharType="separate"/>
      </w:r>
      <w:r w:rsidR="0068169D">
        <w:rPr>
          <w:noProof/>
        </w:rPr>
        <w:t>6</w:t>
      </w:r>
      <w:r w:rsidR="0068169D">
        <w:rPr>
          <w:noProof/>
        </w:rPr>
        <w:fldChar w:fldCharType="end"/>
      </w:r>
      <w:bookmarkEnd w:id="71"/>
      <w:r w:rsidR="00954BE6" w:rsidRPr="000219CE">
        <w:t xml:space="preserve"> Composition of </w:t>
      </w:r>
      <w:r w:rsidR="00AF074D">
        <w:t>Australian Government</w:t>
      </w:r>
      <w:r w:rsidR="00954BE6" w:rsidRPr="000219CE">
        <w:t xml:space="preserve"> taxes over time</w:t>
      </w:r>
      <w:r w:rsidR="00894E29" w:rsidRPr="000219CE">
        <w:t xml:space="preserve"> </w:t>
      </w:r>
    </w:p>
    <w:bookmarkStart w:id="72" w:name="_1484576164"/>
    <w:bookmarkStart w:id="73" w:name="_1484576334"/>
    <w:bookmarkStart w:id="74" w:name="_1484576166"/>
    <w:bookmarkStart w:id="75" w:name="_1484576336"/>
    <w:bookmarkStart w:id="76" w:name="_1484576167"/>
    <w:bookmarkStart w:id="77" w:name="_1484576337"/>
    <w:bookmarkStart w:id="78" w:name="_1484576169"/>
    <w:bookmarkStart w:id="79" w:name="_1484576339"/>
    <w:bookmarkStart w:id="80" w:name="_1486291926"/>
    <w:bookmarkStart w:id="81" w:name="_1487161851"/>
    <w:bookmarkStart w:id="82" w:name="_1486291927"/>
    <w:bookmarkStart w:id="83" w:name="_1487161853"/>
    <w:bookmarkStart w:id="84" w:name="_1486291929"/>
    <w:bookmarkStart w:id="85" w:name="_1487161854"/>
    <w:bookmarkStart w:id="86" w:name="_1486291930"/>
    <w:bookmarkStart w:id="87" w:name="_1487161856"/>
    <w:bookmarkStart w:id="88" w:name="_1488352138"/>
    <w:bookmarkStart w:id="89" w:name="_148836442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5302A7AE" w14:textId="7309F89F" w:rsidR="00541376" w:rsidRDefault="00AF5B02" w:rsidP="00C2740F">
      <w:pPr>
        <w:pStyle w:val="ChartGraphic"/>
      </w:pPr>
      <w:r>
        <w:object w:dxaOrig="4516" w:dyaOrig="4515" w14:anchorId="29B155F3">
          <v:shape id="_x0000_i1030" type="#_x0000_t75" alt="Chart 2.6 Composition of Commonwealth taxes over time&#10;This chart shows the shares of Commonwealth taxes in the 1950s, 2000-01, 2013-14 and 2024-25. It is projected individuals tax will increase its share by 2024-25.&#10;" style="width:225.95pt;height:225.95pt" o:ole="">
            <v:imagedata r:id="rId32" o:title=""/>
          </v:shape>
          <o:OLEObject Type="Link" ProgID="Excel.Sheet.12" ShapeID="_x0000_i1030" DrawAspect="Content" r:id="rId33" UpdateMode="Always">
            <o:LinkType>EnhancedMetaFile</o:LinkType>
            <o:LockedField/>
          </o:OLEObject>
        </w:object>
      </w:r>
      <w:bookmarkStart w:id="90" w:name="_1488352139"/>
      <w:bookmarkStart w:id="91" w:name="_1488364426"/>
      <w:bookmarkEnd w:id="90"/>
      <w:bookmarkEnd w:id="91"/>
      <w:r>
        <w:object w:dxaOrig="4516" w:dyaOrig="4515" w14:anchorId="03B21FEA">
          <v:shape id="_x0000_i1031" type="#_x0000_t75" alt="Chart 2.6 Composition of Commonwealth taxes over time&#10;This chart shows the shares of Commonwealth taxes in 2000-01. It is projected individuals tax will increase its share by 2024-25.&#10;" style="width:225.95pt;height:225.95pt" o:ole="">
            <v:imagedata r:id="rId34" o:title=""/>
          </v:shape>
          <o:OLEObject Type="Link" ProgID="Excel.Sheet.12" ShapeID="_x0000_i1031" DrawAspect="Content" r:id="rId35" UpdateMode="Always">
            <o:LinkType>EnhancedMetaFile</o:LinkType>
            <o:LockedField/>
          </o:OLEObject>
        </w:object>
      </w:r>
    </w:p>
    <w:bookmarkStart w:id="92" w:name="_1488352141"/>
    <w:bookmarkStart w:id="93" w:name="_1488364427"/>
    <w:bookmarkEnd w:id="92"/>
    <w:bookmarkEnd w:id="93"/>
    <w:p w14:paraId="092DE3CC" w14:textId="7CBA76C3" w:rsidR="00242F4B" w:rsidRPr="00242F4B" w:rsidRDefault="00AF5B02" w:rsidP="00C2740F">
      <w:pPr>
        <w:pStyle w:val="ChartGraphic"/>
      </w:pPr>
      <w:r>
        <w:object w:dxaOrig="4516" w:dyaOrig="4515" w14:anchorId="72E16518">
          <v:shape id="_x0000_i1032" type="#_x0000_t75" alt="Chart 2.6 Composition of Commonwealth taxes over time&#10;This chart shows the shares of Commonwealth taxes in 2013-14. It is projected individuals tax will increase its share by 2024-25.&#10;" style="width:225.95pt;height:225.95pt" o:ole="">
            <v:imagedata r:id="rId36" o:title=""/>
          </v:shape>
          <o:OLEObject Type="Link" ProgID="Excel.Sheet.12" ShapeID="_x0000_i1032" DrawAspect="Content" r:id="rId37" UpdateMode="Always">
            <o:LinkType>EnhancedMetaFile</o:LinkType>
            <o:LockedField/>
          </o:OLEObject>
        </w:object>
      </w:r>
      <w:bookmarkStart w:id="94" w:name="_1488352142"/>
      <w:bookmarkStart w:id="95" w:name="_1488364429"/>
      <w:bookmarkEnd w:id="94"/>
      <w:bookmarkEnd w:id="95"/>
      <w:r>
        <w:object w:dxaOrig="4516" w:dyaOrig="4515" w14:anchorId="01B44549">
          <v:shape id="_x0000_i1033" type="#_x0000_t75" alt="Chart 2.6 Composition of Commonwealth taxes over time&#10;This chart shows the shares of Commonwealth taxes in 2024-25. It is projected individuals tax will increase its share by 2024-25.&#10;" style="width:225.95pt;height:225.95pt" o:ole="">
            <v:imagedata r:id="rId38" o:title=""/>
          </v:shape>
          <o:OLEObject Type="Link" ProgID="Excel.Sheet.12" ShapeID="_x0000_i1033" DrawAspect="Content" r:id="rId39" UpdateMode="Always">
            <o:LinkType>EnhancedMetaFile</o:LinkType>
            <o:LockedField/>
          </o:OLEObject>
        </w:object>
      </w:r>
    </w:p>
    <w:p w14:paraId="117BD81F" w14:textId="77777777" w:rsidR="00326CCA" w:rsidRPr="000219CE" w:rsidRDefault="00326CCA" w:rsidP="008E0373">
      <w:pPr>
        <w:pStyle w:val="ChartorTableNote"/>
        <w:ind w:left="567"/>
        <w:jc w:val="left"/>
      </w:pPr>
    </w:p>
    <w:p w14:paraId="2F60EDC5" w14:textId="05D37D0B" w:rsidR="006E787A" w:rsidRPr="000219CE" w:rsidRDefault="006E787A" w:rsidP="000D0ADB">
      <w:pPr>
        <w:pStyle w:val="ChartandTableNote"/>
        <w:ind w:left="426"/>
      </w:pPr>
      <w:r w:rsidRPr="000219CE">
        <w:t>Note</w:t>
      </w:r>
      <w:r w:rsidR="008E0373" w:rsidRPr="000219CE">
        <w:t xml:space="preserve"> </w:t>
      </w:r>
      <w:r w:rsidRPr="000219CE">
        <w:t>1</w:t>
      </w:r>
      <w:r w:rsidR="00B615E9" w:rsidRPr="000219CE">
        <w:t>:</w:t>
      </w:r>
      <w:r w:rsidR="008E0373" w:rsidRPr="000219CE">
        <w:t xml:space="preserve"> </w:t>
      </w:r>
      <w:r w:rsidR="00243B86" w:rsidRPr="000219CE">
        <w:t>On average in the 1950s, customs duties made up around 25 per cent of indirect tax compa</w:t>
      </w:r>
      <w:r w:rsidR="00276D88" w:rsidRPr="000219CE">
        <w:t>red with 10 per cent in 2013</w:t>
      </w:r>
      <w:r w:rsidR="00E53472">
        <w:noBreakHyphen/>
      </w:r>
      <w:r w:rsidR="00276D88" w:rsidRPr="000219CE">
        <w:t>14.</w:t>
      </w:r>
      <w:r w:rsidR="00157DC2" w:rsidRPr="000219CE">
        <w:t xml:space="preserve"> </w:t>
      </w:r>
      <w:r w:rsidR="00313263" w:rsidRPr="000219CE">
        <w:br/>
      </w:r>
      <w:r w:rsidR="00B615E9" w:rsidRPr="000219CE">
        <w:t xml:space="preserve">Note </w:t>
      </w:r>
      <w:r w:rsidR="00276D88" w:rsidRPr="000219CE">
        <w:t>2</w:t>
      </w:r>
      <w:r w:rsidR="00B615E9" w:rsidRPr="000219CE">
        <w:t>:</w:t>
      </w:r>
      <w:r w:rsidR="008E0373" w:rsidRPr="000219CE">
        <w:t xml:space="preserve"> </w:t>
      </w:r>
      <w:r w:rsidR="0085442C" w:rsidRPr="000219CE">
        <w:t xml:space="preserve">For the 1950s, </w:t>
      </w:r>
      <w:r w:rsidR="00E53472">
        <w:t>‘</w:t>
      </w:r>
      <w:r w:rsidR="0085442C" w:rsidRPr="000219CE">
        <w:t>Other</w:t>
      </w:r>
      <w:r w:rsidR="00E53472">
        <w:t>’</w:t>
      </w:r>
      <w:r w:rsidR="0085442C" w:rsidRPr="000219CE">
        <w:t xml:space="preserve"> includes payroll tax, land tax, estate duty, entertainments tax, gift duty and gold tax.</w:t>
      </w:r>
    </w:p>
    <w:p w14:paraId="47BA0B4D" w14:textId="09790B71" w:rsidR="00724862" w:rsidRPr="000219CE" w:rsidRDefault="00724862" w:rsidP="000D0ADB">
      <w:pPr>
        <w:pStyle w:val="ChartandTableNote"/>
        <w:ind w:left="426"/>
      </w:pPr>
      <w:r w:rsidRPr="000219CE">
        <w:t xml:space="preserve">Source: </w:t>
      </w:r>
      <w:r w:rsidR="00D551AC" w:rsidRPr="000219CE">
        <w:t xml:space="preserve">Reserve Bank of Australia 1997, </w:t>
      </w:r>
      <w:r w:rsidR="00D551AC" w:rsidRPr="000219CE">
        <w:rPr>
          <w:i/>
        </w:rPr>
        <w:t>Australian Economic Statistics 1949</w:t>
      </w:r>
      <w:r w:rsidR="00E53472">
        <w:rPr>
          <w:i/>
        </w:rPr>
        <w:noBreakHyphen/>
      </w:r>
      <w:r w:rsidR="00D551AC" w:rsidRPr="000219CE">
        <w:rPr>
          <w:i/>
        </w:rPr>
        <w:t>50 to 1994</w:t>
      </w:r>
      <w:r w:rsidR="00E53472">
        <w:rPr>
          <w:i/>
        </w:rPr>
        <w:noBreakHyphen/>
      </w:r>
      <w:r w:rsidR="00D551AC" w:rsidRPr="000219CE">
        <w:rPr>
          <w:i/>
        </w:rPr>
        <w:t>95</w:t>
      </w:r>
      <w:r w:rsidR="00D551AC" w:rsidRPr="000219CE">
        <w:t xml:space="preserve">, Occasional Paper Number 8, viewed </w:t>
      </w:r>
      <w:r w:rsidR="00B91BE0" w:rsidRPr="000219CE">
        <w:t>10 December 2014</w:t>
      </w:r>
      <w:r w:rsidR="004B61A3" w:rsidRPr="000219CE">
        <w:t>:</w:t>
      </w:r>
      <w:r w:rsidR="005E59B8" w:rsidRPr="000219CE">
        <w:t> </w:t>
      </w:r>
      <w:r w:rsidR="00D551AC" w:rsidRPr="003D7ABD">
        <w:rPr>
          <w:color w:val="31A7D4" w:themeColor="accent1"/>
        </w:rPr>
        <w:t>www.rba.gov.au/statistics/frequency/occ</w:t>
      </w:r>
      <w:r w:rsidR="00E53472">
        <w:rPr>
          <w:color w:val="31A7D4" w:themeColor="accent1"/>
        </w:rPr>
        <w:noBreakHyphen/>
      </w:r>
      <w:r w:rsidR="00D551AC" w:rsidRPr="003D7ABD">
        <w:rPr>
          <w:color w:val="31A7D4" w:themeColor="accent1"/>
        </w:rPr>
        <w:t>paper</w:t>
      </w:r>
      <w:r w:rsidR="00E53472">
        <w:rPr>
          <w:color w:val="31A7D4" w:themeColor="accent1"/>
        </w:rPr>
        <w:noBreakHyphen/>
      </w:r>
      <w:r w:rsidR="00D551AC" w:rsidRPr="003D7ABD">
        <w:rPr>
          <w:color w:val="31A7D4" w:themeColor="accent1"/>
        </w:rPr>
        <w:t>8.html</w:t>
      </w:r>
      <w:r w:rsidR="00D551AC" w:rsidRPr="000219CE">
        <w:t>;</w:t>
      </w:r>
      <w:r w:rsidR="00287164" w:rsidRPr="000219CE">
        <w:br/>
      </w:r>
      <w:r w:rsidR="00D05C78" w:rsidRPr="000219CE">
        <w:t xml:space="preserve">Australian Government 2014, </w:t>
      </w:r>
      <w:r w:rsidR="00D05C78" w:rsidRPr="000219CE">
        <w:rPr>
          <w:i/>
        </w:rPr>
        <w:t>Budget 2014</w:t>
      </w:r>
      <w:r w:rsidR="00E53472">
        <w:rPr>
          <w:i/>
        </w:rPr>
        <w:noBreakHyphen/>
      </w:r>
      <w:r w:rsidR="00D05C78" w:rsidRPr="000219CE">
        <w:rPr>
          <w:i/>
        </w:rPr>
        <w:t>15</w:t>
      </w:r>
      <w:r w:rsidR="00546041" w:rsidRPr="000219CE">
        <w:rPr>
          <w:i/>
        </w:rPr>
        <w:t xml:space="preserve"> — online supplementary tables</w:t>
      </w:r>
      <w:r w:rsidR="00D05C78" w:rsidRPr="000219CE">
        <w:rPr>
          <w:i/>
        </w:rPr>
        <w:t xml:space="preserve">, </w:t>
      </w:r>
      <w:r w:rsidR="00D05C78" w:rsidRPr="000219CE">
        <w:t>Australian Government, Canberra</w:t>
      </w:r>
      <w:r w:rsidR="00546041" w:rsidRPr="000219CE">
        <w:t>, viewed 10 December 2014</w:t>
      </w:r>
      <w:r w:rsidR="004B61A3" w:rsidRPr="000219CE">
        <w:t>:</w:t>
      </w:r>
      <w:r w:rsidR="00546041" w:rsidRPr="000219CE">
        <w:t xml:space="preserve"> </w:t>
      </w:r>
      <w:hyperlink r:id="rId40" w:history="1">
        <w:r w:rsidR="008E0373" w:rsidRPr="003D7ABD">
          <w:rPr>
            <w:rStyle w:val="Hyperlink"/>
            <w:color w:val="31A7D4" w:themeColor="accent1"/>
          </w:rPr>
          <w:t>http://budget.gov.au/2014</w:t>
        </w:r>
        <w:r w:rsidR="00E53472">
          <w:rPr>
            <w:rStyle w:val="Hyperlink"/>
            <w:color w:val="31A7D4" w:themeColor="accent1"/>
          </w:rPr>
          <w:noBreakHyphen/>
        </w:r>
        <w:r w:rsidR="008E0373" w:rsidRPr="003D7ABD">
          <w:rPr>
            <w:rStyle w:val="Hyperlink"/>
            <w:color w:val="31A7D4" w:themeColor="accent1"/>
          </w:rPr>
          <w:t>15/content/bp1/html/bp1_bst5</w:t>
        </w:r>
        <w:r w:rsidR="00E53472">
          <w:rPr>
            <w:rStyle w:val="Hyperlink"/>
            <w:color w:val="31A7D4" w:themeColor="accent1"/>
          </w:rPr>
          <w:noBreakHyphen/>
        </w:r>
        <w:r w:rsidR="008E0373" w:rsidRPr="003D7ABD">
          <w:rPr>
            <w:rStyle w:val="Hyperlink"/>
            <w:color w:val="31A7D4" w:themeColor="accent1"/>
          </w:rPr>
          <w:t>06.htm</w:t>
        </w:r>
      </w:hyperlink>
      <w:r w:rsidR="00D05C78" w:rsidRPr="000219CE">
        <w:t>;</w:t>
      </w:r>
      <w:r w:rsidR="008E0373" w:rsidRPr="000219CE">
        <w:t xml:space="preserve"> and</w:t>
      </w:r>
      <w:r w:rsidR="00287164" w:rsidRPr="000219CE">
        <w:br/>
      </w:r>
      <w:r w:rsidR="00012D6F" w:rsidRPr="000219CE">
        <w:t xml:space="preserve">Australian Government 2014, </w:t>
      </w:r>
      <w:r w:rsidR="004249C3" w:rsidRPr="004249C3">
        <w:rPr>
          <w:i/>
        </w:rPr>
        <w:t>2013</w:t>
      </w:r>
      <w:r w:rsidR="00E53472">
        <w:rPr>
          <w:i/>
        </w:rPr>
        <w:noBreakHyphen/>
      </w:r>
      <w:r w:rsidR="004249C3" w:rsidRPr="004249C3">
        <w:rPr>
          <w:i/>
        </w:rPr>
        <w:t>14</w:t>
      </w:r>
      <w:r w:rsidR="004249C3">
        <w:t xml:space="preserve"> </w:t>
      </w:r>
      <w:r w:rsidR="00012D6F" w:rsidRPr="000219CE">
        <w:rPr>
          <w:i/>
        </w:rPr>
        <w:t>Final Budget Outcome</w:t>
      </w:r>
      <w:r w:rsidR="00012D6F" w:rsidRPr="000219CE">
        <w:t>, Australian Government, Canberra</w:t>
      </w:r>
      <w:r w:rsidR="00D551AC" w:rsidRPr="000219CE">
        <w:t xml:space="preserve">; </w:t>
      </w:r>
      <w:r w:rsidRPr="000219CE">
        <w:t>and Treasury estimates.</w:t>
      </w:r>
    </w:p>
    <w:p w14:paraId="7161AD8B" w14:textId="20382CB5" w:rsidR="0048740B" w:rsidRPr="000219CE" w:rsidRDefault="0048740B">
      <w:pPr>
        <w:spacing w:after="0" w:line="240" w:lineRule="auto"/>
      </w:pPr>
      <w:r w:rsidRPr="000219CE">
        <w:br w:type="page"/>
      </w:r>
    </w:p>
    <w:p w14:paraId="2617EF4D" w14:textId="77777777" w:rsidR="00E00CEA" w:rsidRPr="000219CE" w:rsidRDefault="00E00CEA" w:rsidP="0048740B">
      <w:pPr>
        <w:pStyle w:val="Singleparagraph0"/>
      </w:pPr>
    </w:p>
    <w:tbl>
      <w:tblPr>
        <w:tblStyle w:val="TableGrid"/>
        <w:tblW w:w="0" w:type="auto"/>
        <w:shd w:val="clear" w:color="auto" w:fill="EBEAEA" w:themeFill="accent6" w:themeFillTint="33"/>
        <w:tblCellMar>
          <w:top w:w="170" w:type="dxa"/>
          <w:left w:w="170" w:type="dxa"/>
          <w:bottom w:w="170" w:type="dxa"/>
          <w:right w:w="198" w:type="dxa"/>
        </w:tblCellMar>
        <w:tblLook w:val="04A0" w:firstRow="1" w:lastRow="0" w:firstColumn="1" w:lastColumn="0" w:noHBand="0" w:noVBand="1"/>
      </w:tblPr>
      <w:tblGrid>
        <w:gridCol w:w="9384"/>
      </w:tblGrid>
      <w:tr w:rsidR="000D0ADB" w:rsidRPr="000219CE" w14:paraId="2D4F4CDC" w14:textId="77777777" w:rsidTr="00B615E9">
        <w:tc>
          <w:tcPr>
            <w:tcW w:w="9384" w:type="dxa"/>
            <w:tcBorders>
              <w:top w:val="nil"/>
              <w:left w:val="nil"/>
              <w:bottom w:val="nil"/>
              <w:right w:val="nil"/>
            </w:tcBorders>
            <w:shd w:val="clear" w:color="auto" w:fill="EBEAEA" w:themeFill="accent6" w:themeFillTint="33"/>
          </w:tcPr>
          <w:p w14:paraId="48DD9EC5" w14:textId="6C2DF46F" w:rsidR="000D0ADB" w:rsidRPr="000219CE" w:rsidRDefault="000D0ADB" w:rsidP="00E569EB">
            <w:pPr>
              <w:pStyle w:val="BoxHeading"/>
            </w:pPr>
            <w:r w:rsidRPr="000219CE">
              <w:t xml:space="preserve">Box </w:t>
            </w:r>
            <w:fldSimple w:instr=" STYLEREF 1 \s ">
              <w:r w:rsidR="0068169D">
                <w:rPr>
                  <w:noProof/>
                </w:rPr>
                <w:t>2</w:t>
              </w:r>
            </w:fldSimple>
            <w:r w:rsidRPr="000219CE">
              <w:t>.</w:t>
            </w:r>
            <w:fldSimple w:instr=" SEQ Box \* ARABIC \s 1 ">
              <w:r w:rsidR="0068169D">
                <w:rPr>
                  <w:noProof/>
                </w:rPr>
                <w:t>2</w:t>
              </w:r>
            </w:fldSimple>
            <w:r w:rsidRPr="000219CE">
              <w:t>: Bracket creep</w:t>
            </w:r>
          </w:p>
          <w:p w14:paraId="4EB76551" w14:textId="165E9881" w:rsidR="007C4C57" w:rsidRDefault="000D0ADB" w:rsidP="000D0ADB">
            <w:pPr>
              <w:pStyle w:val="BoxText"/>
            </w:pPr>
            <w:r w:rsidRPr="000219CE">
              <w:t xml:space="preserve">Progressivity in the </w:t>
            </w:r>
            <w:proofErr w:type="gramStart"/>
            <w:r w:rsidRPr="000219CE">
              <w:t>individuals</w:t>
            </w:r>
            <w:proofErr w:type="gramEnd"/>
            <w:r w:rsidRPr="000219CE">
              <w:t xml:space="preserve"> income tax system is delivered by applying higher marginal rates of tax at different income thresholds. These thresholds do not automatically keep pace w</w:t>
            </w:r>
            <w:r w:rsidR="005C79AC">
              <w:t xml:space="preserve">ith inflation or wages growth. </w:t>
            </w:r>
            <w:r w:rsidRPr="000219CE">
              <w:t>Bracket creep</w:t>
            </w:r>
            <w:r w:rsidR="005C79AC">
              <w:t xml:space="preserve"> (also called </w:t>
            </w:r>
            <w:r w:rsidRPr="000219CE">
              <w:t>fiscal drag) refers to the fact that taxpayers will face higher average, and sometimes marginal, tax rates over time even if their income has only increased by</w:t>
            </w:r>
            <w:r w:rsidR="007C4C57">
              <w:t xml:space="preserve"> inflation.</w:t>
            </w:r>
          </w:p>
          <w:p w14:paraId="43C98E94" w14:textId="3B7730B4" w:rsidR="007C4C57" w:rsidRPr="0031661F" w:rsidRDefault="004C400E" w:rsidP="000D0ADB">
            <w:pPr>
              <w:pStyle w:val="BoxText"/>
            </w:pPr>
            <w:r w:rsidRPr="000219CE">
              <w:t>Between 2014</w:t>
            </w:r>
            <w:r w:rsidR="00E53472">
              <w:noBreakHyphen/>
            </w:r>
            <w:r w:rsidRPr="000219CE">
              <w:t xml:space="preserve">15 </w:t>
            </w:r>
            <w:r w:rsidRPr="0031661F">
              <w:t>and 2024</w:t>
            </w:r>
            <w:r w:rsidR="00E53472">
              <w:noBreakHyphen/>
            </w:r>
            <w:r w:rsidRPr="0031661F">
              <w:t xml:space="preserve">25, the percentage of taxpayers in the top two tax brackets (that is, with taxable income in excess of $80,000) is </w:t>
            </w:r>
            <w:r w:rsidR="00E7356D" w:rsidRPr="0031661F">
              <w:t>estimated</w:t>
            </w:r>
            <w:r w:rsidRPr="0031661F">
              <w:t xml:space="preserve"> to increase from around 27 per cent to 43 per cent</w:t>
            </w:r>
            <w:r w:rsidR="00E7356D" w:rsidRPr="0031661F">
              <w:t xml:space="preserve"> under current policy settings</w:t>
            </w:r>
            <w:r w:rsidRPr="0031661F">
              <w:t>.</w:t>
            </w:r>
            <w:r w:rsidR="007C4C57" w:rsidRPr="0031661F">
              <w:t xml:space="preserve"> </w:t>
            </w:r>
            <w:r w:rsidR="00E7356D" w:rsidRPr="0031661F">
              <w:t xml:space="preserve">It is estimated </w:t>
            </w:r>
            <w:r w:rsidR="00EE52F2" w:rsidRPr="0031661F">
              <w:t>that</w:t>
            </w:r>
            <w:r w:rsidR="00E7356D" w:rsidRPr="0031661F">
              <w:t xml:space="preserve"> over 2 million more taxpayers</w:t>
            </w:r>
            <w:r w:rsidR="00EE52F2" w:rsidRPr="0031661F">
              <w:t xml:space="preserve"> will be</w:t>
            </w:r>
            <w:r w:rsidR="00E7356D" w:rsidRPr="0031661F">
              <w:t xml:space="preserve"> in the third income tax bracket (taxable income from $80,000 to $180,000) in 2024</w:t>
            </w:r>
            <w:r w:rsidR="00E53472">
              <w:noBreakHyphen/>
            </w:r>
            <w:r w:rsidR="00E7356D" w:rsidRPr="0031661F">
              <w:t>25, compared to 2014</w:t>
            </w:r>
            <w:r w:rsidR="00E53472">
              <w:noBreakHyphen/>
            </w:r>
            <w:r w:rsidR="00E7356D" w:rsidRPr="0031661F">
              <w:t>15</w:t>
            </w:r>
            <w:r w:rsidR="00A05995" w:rsidRPr="0031661F">
              <w:t>. There is also estimated to be a</w:t>
            </w:r>
            <w:r w:rsidR="00E7356D" w:rsidRPr="0031661F">
              <w:t>round 750,000 more taxpayers</w:t>
            </w:r>
            <w:r w:rsidR="007C4C57" w:rsidRPr="0031661F">
              <w:t xml:space="preserve"> </w:t>
            </w:r>
            <w:r w:rsidR="00E7356D" w:rsidRPr="0031661F">
              <w:t>in the fourth tax bracket (taxable income above $180,000)</w:t>
            </w:r>
            <w:r w:rsidR="00EE52F2" w:rsidRPr="0031661F">
              <w:t xml:space="preserve"> in </w:t>
            </w:r>
            <w:r w:rsidR="009D0589">
              <w:t>2024</w:t>
            </w:r>
            <w:r w:rsidR="00E53472">
              <w:noBreakHyphen/>
            </w:r>
            <w:r w:rsidR="0031661F" w:rsidRPr="0031661F">
              <w:t>25 compared to 2014</w:t>
            </w:r>
            <w:r w:rsidR="00E53472">
              <w:noBreakHyphen/>
            </w:r>
            <w:r w:rsidR="0031661F" w:rsidRPr="0031661F">
              <w:t xml:space="preserve">15 </w:t>
            </w:r>
            <w:r w:rsidR="00E7356D" w:rsidRPr="0031661F">
              <w:t>(</w:t>
            </w:r>
            <w:r w:rsidR="00A05995" w:rsidRPr="0031661F">
              <w:t>Chart </w:t>
            </w:r>
            <w:r w:rsidR="007C4C57" w:rsidRPr="0031661F">
              <w:t>2.7).</w:t>
            </w:r>
          </w:p>
          <w:p w14:paraId="10C8A401" w14:textId="61347C7C" w:rsidR="00660A65" w:rsidRPr="000219CE" w:rsidRDefault="00660A65" w:rsidP="009D0589">
            <w:pPr>
              <w:pStyle w:val="ChartMainHeading"/>
            </w:pPr>
            <w:r w:rsidRPr="0031661F">
              <w:t>Chart 2.</w:t>
            </w:r>
            <w:fldSimple w:instr=" SEQ Chart \* ARABIC \s 1 ">
              <w:r w:rsidR="0068169D">
                <w:rPr>
                  <w:noProof/>
                </w:rPr>
                <w:t>7</w:t>
              </w:r>
            </w:fldSimple>
            <w:r w:rsidRPr="0031661F">
              <w:t xml:space="preserve"> </w:t>
            </w:r>
            <w:r w:rsidR="00A87988" w:rsidRPr="0031661F">
              <w:t xml:space="preserve">Estimated </w:t>
            </w:r>
            <w:r w:rsidR="00A87988" w:rsidRPr="009D0589">
              <w:t>cumulative</w:t>
            </w:r>
            <w:r w:rsidR="00A87988" w:rsidRPr="0031661F">
              <w:t xml:space="preserve"> increase in taxpayers in third and fourth tax brackets, relative</w:t>
            </w:r>
            <w:r w:rsidR="009D0589">
              <w:t> </w:t>
            </w:r>
            <w:r w:rsidR="00A87988" w:rsidRPr="0031661F">
              <w:t>to 2014</w:t>
            </w:r>
            <w:r w:rsidR="00E53472">
              <w:noBreakHyphen/>
            </w:r>
            <w:r w:rsidR="00A87988" w:rsidRPr="0031661F">
              <w:t>15</w:t>
            </w:r>
          </w:p>
          <w:bookmarkStart w:id="96" w:name="_1488351726"/>
          <w:bookmarkStart w:id="97" w:name="_1488352144"/>
          <w:bookmarkStart w:id="98" w:name="_1488364430"/>
          <w:bookmarkEnd w:id="96"/>
          <w:bookmarkEnd w:id="97"/>
          <w:bookmarkEnd w:id="98"/>
          <w:p w14:paraId="5E998EAE" w14:textId="618E30A7" w:rsidR="004C400E" w:rsidRDefault="00AF5B02" w:rsidP="00AF5B02">
            <w:pPr>
              <w:pStyle w:val="BoxText"/>
            </w:pPr>
            <w:r>
              <w:rPr>
                <w:rFonts w:cs="Times New Roman"/>
                <w:szCs w:val="20"/>
                <w:lang w:eastAsia="en-AU"/>
              </w:rPr>
              <w:object w:dxaOrig="8775" w:dyaOrig="4516" w14:anchorId="5CD13940">
                <v:shape id="_x0000_i1034" type="#_x0000_t75" alt="Chart 2.7 Estimated cumulative increase in taxpayers in third and fourth tax brackets, relative to 2014-15&#10;This chart shows the cumulative increase in the number of taxpayers in the highest and second highest tax brackets over the next 10 years, relative to 2014 -15. &#10;The number of additional taxpayers in the top two tax brackets is estimated to be around 250,000 in 2015-16, and around 3 million by the end of this period, in 2024-25. &#10;" style="width:438.9pt;height:225.95pt" o:ole="">
                  <v:imagedata r:id="rId41" o:title=""/>
                </v:shape>
                <o:OLEObject Type="Link" ProgID="Excel.Sheet.12" ShapeID="_x0000_i1034" DrawAspect="Content" r:id="rId42" UpdateMode="Always">
                  <o:LinkType>EnhancedMetaFile</o:LinkType>
                  <o:LockedField/>
                </o:OLEObject>
              </w:object>
            </w:r>
          </w:p>
          <w:p w14:paraId="305B6EEB" w14:textId="1F629C2E" w:rsidR="00A02DAD" w:rsidRDefault="00A02DAD" w:rsidP="00420581">
            <w:pPr>
              <w:pStyle w:val="ChartandTableNote"/>
              <w:ind w:firstLine="426"/>
            </w:pPr>
            <w:r>
              <w:t>Note: Tax rate</w:t>
            </w:r>
            <w:r w:rsidR="003C4D79">
              <w:t>s exclude</w:t>
            </w:r>
            <w:r>
              <w:t xml:space="preserve"> Medicare Levy and Temporary Budget Repair Levy.</w:t>
            </w:r>
          </w:p>
          <w:p w14:paraId="21CA6F02" w14:textId="339E001C" w:rsidR="00420581" w:rsidRDefault="00420581" w:rsidP="00420581">
            <w:pPr>
              <w:pStyle w:val="ChartandTableNote"/>
              <w:ind w:firstLine="426"/>
            </w:pPr>
            <w:r w:rsidRPr="000219CE">
              <w:t>Source:</w:t>
            </w:r>
            <w:r>
              <w:t xml:space="preserve"> Treasury estimates.</w:t>
            </w:r>
          </w:p>
          <w:p w14:paraId="15B31EA4" w14:textId="77777777" w:rsidR="00AF5B02" w:rsidRPr="00AF5B02" w:rsidRDefault="00AF5B02" w:rsidP="00AF5B02"/>
          <w:p w14:paraId="7C1DF91C" w14:textId="2C945E54" w:rsidR="000D0ADB" w:rsidRPr="000219CE" w:rsidRDefault="000D0ADB" w:rsidP="009D0589">
            <w:pPr>
              <w:pStyle w:val="BoxText"/>
            </w:pPr>
            <w:r w:rsidRPr="000219CE">
              <w:t xml:space="preserve">While bracket creep exists because of the progressivity of the </w:t>
            </w:r>
            <w:proofErr w:type="gramStart"/>
            <w:r w:rsidRPr="000219CE">
              <w:t>individuals</w:t>
            </w:r>
            <w:proofErr w:type="gramEnd"/>
            <w:r w:rsidRPr="000219CE">
              <w:t xml:space="preserve"> income tax system, unchecked bracket creep </w:t>
            </w:r>
            <w:r w:rsidR="000D72C2">
              <w:t xml:space="preserve">affects lower and middle income earners proportionally more than higher income earners. </w:t>
            </w:r>
          </w:p>
          <w:p w14:paraId="3D6C9FCB" w14:textId="0CFD9E07" w:rsidR="0020257C" w:rsidRDefault="000D0ADB" w:rsidP="005C58E5">
            <w:pPr>
              <w:pStyle w:val="BoxText"/>
              <w:spacing w:after="360"/>
            </w:pPr>
            <w:r w:rsidRPr="000219CE">
              <w:t>For example, average ordinary full</w:t>
            </w:r>
            <w:r w:rsidR="00E53472">
              <w:noBreakHyphen/>
            </w:r>
            <w:r w:rsidRPr="000219CE">
              <w:t>time earnings were around $75,000 in 2013</w:t>
            </w:r>
            <w:r w:rsidR="00E53472">
              <w:noBreakHyphen/>
            </w:r>
            <w:r w:rsidRPr="000219CE">
              <w:t>14, and are expecte</w:t>
            </w:r>
            <w:r w:rsidRPr="009D0589">
              <w:t>d</w:t>
            </w:r>
            <w:r w:rsidRPr="000219CE">
              <w:t xml:space="preserve"> to be around $104,000 in 2023</w:t>
            </w:r>
            <w:r w:rsidR="00E53472">
              <w:noBreakHyphen/>
            </w:r>
            <w:r w:rsidRPr="000219CE">
              <w:t>24 (see Chart 2.</w:t>
            </w:r>
            <w:r w:rsidR="008E7EFF">
              <w:t>8</w:t>
            </w:r>
            <w:r w:rsidRPr="000219CE">
              <w:t xml:space="preserve">). </w:t>
            </w:r>
            <w:r w:rsidR="00983340" w:rsidRPr="000219CE">
              <w:t xml:space="preserve">Someone on </w:t>
            </w:r>
            <w:r w:rsidRPr="000219CE">
              <w:t>average full</w:t>
            </w:r>
            <w:r w:rsidR="00E53472">
              <w:noBreakHyphen/>
            </w:r>
            <w:r w:rsidRPr="000219CE">
              <w:t xml:space="preserve">time </w:t>
            </w:r>
            <w:r w:rsidR="00983340" w:rsidRPr="000219CE">
              <w:t xml:space="preserve">earnings </w:t>
            </w:r>
            <w:r w:rsidRPr="000219CE">
              <w:t>therefore had an average tax rate of 22.7 per cent in 2013</w:t>
            </w:r>
            <w:r w:rsidR="00E53472">
              <w:noBreakHyphen/>
            </w:r>
            <w:r w:rsidRPr="000219CE">
              <w:t>14, increasing to 27.4 per cent by 2023</w:t>
            </w:r>
            <w:r w:rsidR="00E53472">
              <w:noBreakHyphen/>
            </w:r>
            <w:r w:rsidRPr="000219CE">
              <w:t>24. By contrast, someone with only half that income earned $37,500 in 2013</w:t>
            </w:r>
            <w:r w:rsidR="00E53472">
              <w:noBreakHyphen/>
            </w:r>
            <w:r w:rsidRPr="000219CE">
              <w:t>14, increasing to $52,000 in 2023</w:t>
            </w:r>
            <w:r w:rsidR="00E53472">
              <w:noBreakHyphen/>
            </w:r>
            <w:r w:rsidRPr="000219CE">
              <w:t>24. However, their average tax rate will increase from 10.3 per cent to 17.8 per cent. Someone earning twice the average full</w:t>
            </w:r>
            <w:r w:rsidR="00E53472">
              <w:noBreakHyphen/>
            </w:r>
            <w:r w:rsidRPr="000219CE">
              <w:t>time wage is on $150,000, increasing to $208,000 in 2023</w:t>
            </w:r>
            <w:r w:rsidR="00E53472">
              <w:noBreakHyphen/>
            </w:r>
            <w:r w:rsidRPr="000219CE">
              <w:t>24, but their average tax rate will only increase from 30.5 per cent to 34.3 per cent.</w:t>
            </w:r>
          </w:p>
          <w:p w14:paraId="76EDBCC2" w14:textId="073DEC06" w:rsidR="005C58E5" w:rsidRDefault="005C58E5" w:rsidP="005C58E5">
            <w:pPr>
              <w:pStyle w:val="BoxHeading"/>
            </w:pPr>
            <w:r w:rsidRPr="000219CE">
              <w:lastRenderedPageBreak/>
              <w:t xml:space="preserve">Box </w:t>
            </w:r>
            <w:fldSimple w:instr=" STYLEREF 1 \s ">
              <w:r w:rsidR="0068169D">
                <w:rPr>
                  <w:noProof/>
                </w:rPr>
                <w:t>2</w:t>
              </w:r>
            </w:fldSimple>
            <w:r w:rsidRPr="000219CE">
              <w:t>.</w:t>
            </w:r>
            <w:r>
              <w:t>2 con</w:t>
            </w:r>
            <w:r w:rsidR="00E53472">
              <w:t>’</w:t>
            </w:r>
            <w:r>
              <w:t xml:space="preserve">t </w:t>
            </w:r>
          </w:p>
          <w:p w14:paraId="4978DA06" w14:textId="2EE0547B" w:rsidR="00DE7E76" w:rsidRDefault="00DE7E76" w:rsidP="000D0ADB">
            <w:pPr>
              <w:pStyle w:val="BoxText"/>
            </w:pPr>
            <w:r w:rsidRPr="000219CE">
              <w:t>For some people, particularly those on relatively low incomes, bracket creep can reduce incentives to work. At higher incomes, bracket creep increases the incentives for tax planning and structuring, and even overseas relocation. Bracket creep is therefore not just an issue because of its effect on progressivity, but because over time it exacerbates the other problems in the individuals income tax system.</w:t>
            </w:r>
          </w:p>
          <w:p w14:paraId="79ACC6F1" w14:textId="61AE9E3E" w:rsidR="000D0ADB" w:rsidRPr="000219CE" w:rsidRDefault="000D0ADB" w:rsidP="000D0ADB">
            <w:pPr>
              <w:pStyle w:val="ChartMainHeading"/>
            </w:pPr>
            <w:r w:rsidRPr="000219CE">
              <w:t>Chart 2.</w:t>
            </w:r>
            <w:fldSimple w:instr=" SEQ Chart \* ARABIC \s 1 ">
              <w:r w:rsidR="0068169D">
                <w:rPr>
                  <w:noProof/>
                </w:rPr>
                <w:t>8</w:t>
              </w:r>
            </w:fldSimple>
            <w:r w:rsidRPr="000219CE">
              <w:t xml:space="preserve"> Personal income tax rates </w:t>
            </w:r>
            <w:r w:rsidRPr="00660A65">
              <w:t>and</w:t>
            </w:r>
            <w:r w:rsidRPr="000219CE">
              <w:t xml:space="preserve"> the effects of bracket creep</w:t>
            </w:r>
          </w:p>
          <w:bookmarkStart w:id="99" w:name="_1483537594"/>
          <w:bookmarkStart w:id="100" w:name="_1484576170"/>
          <w:bookmarkStart w:id="101" w:name="_1484576340"/>
          <w:bookmarkStart w:id="102" w:name="_1486291931"/>
          <w:bookmarkStart w:id="103" w:name="_1487161858"/>
          <w:bookmarkStart w:id="104" w:name="_1488352145"/>
          <w:bookmarkStart w:id="105" w:name="_1488364432"/>
          <w:bookmarkEnd w:id="99"/>
          <w:bookmarkEnd w:id="100"/>
          <w:bookmarkEnd w:id="101"/>
          <w:bookmarkEnd w:id="102"/>
          <w:bookmarkEnd w:id="103"/>
          <w:bookmarkEnd w:id="104"/>
          <w:bookmarkEnd w:id="105"/>
          <w:p w14:paraId="74590F46" w14:textId="1CDB4A77" w:rsidR="000D0ADB" w:rsidRPr="000219CE" w:rsidRDefault="00AF5B02" w:rsidP="00823F10">
            <w:pPr>
              <w:pStyle w:val="ChartGraphic"/>
            </w:pPr>
            <w:r>
              <w:rPr>
                <w:rFonts w:cs="Times New Roman"/>
                <w:szCs w:val="20"/>
                <w:lang w:eastAsia="en-AU"/>
              </w:rPr>
              <w:object w:dxaOrig="8775" w:dyaOrig="4516" w14:anchorId="450646EA">
                <v:shape id="_x0000_i1035" type="#_x0000_t75" alt="Chart 2.8 Personal income tax rates and the effects of bracket creep&#10;This chart shows the historical and projected impact of bracket creep on taxpayers. The chart shows the individual income tax thresholds for each year from 1994-95 to 2023-24. The chart also shows the historical and expected change in average weekly ordinary time earnings over the same period. Put together, the chart shows that the people earning average weekly ordinary time earnings generally face the second marginal individual income tax rate. The exceptions to this historically were 1998-99 and 1999-00, when people earning average weekly ordinary time earnings (around $39,000 and $40,000 respectively) faced the third marginal individual income tax rate. Based on the current individuals’ income tax thresholds, people earning average weekly ordinary time earnings from 2016-17 are expected to have income upwards of $80,000 and face the third marginal individual income tax rate.&#10;" style="width:438.9pt;height:225.95pt" o:ole="">
                  <v:imagedata r:id="rId43" o:title=""/>
                </v:shape>
                <o:OLEObject Type="Link" ProgID="Excel.Sheet.12" ShapeID="_x0000_i1035" DrawAspect="Content" r:id="rId44" UpdateMode="Always">
                  <o:LinkType>EnhancedMetaFile</o:LinkType>
                  <o:LockedField/>
                </o:OLEObject>
              </w:object>
            </w:r>
          </w:p>
          <w:p w14:paraId="7838923E" w14:textId="5AC6F8B3" w:rsidR="000D0ADB" w:rsidRPr="000219CE" w:rsidRDefault="000D0ADB" w:rsidP="00DE7E76">
            <w:pPr>
              <w:pStyle w:val="ChartandTableNote"/>
              <w:ind w:left="567"/>
            </w:pPr>
            <w:r w:rsidRPr="000219CE">
              <w:t xml:space="preserve">Source: Australian Bureau of Statistics (ABS) 2014, </w:t>
            </w:r>
            <w:r w:rsidRPr="000219CE">
              <w:rPr>
                <w:i/>
              </w:rPr>
              <w:t>Average Weekly Earnings, Australia, May 2014</w:t>
            </w:r>
            <w:r w:rsidRPr="000219CE">
              <w:t xml:space="preserve">, cat. no. 6302.0, ABS, Canberra and Treasury calculations. </w:t>
            </w:r>
          </w:p>
        </w:tc>
      </w:tr>
    </w:tbl>
    <w:p w14:paraId="222B3128" w14:textId="77777777" w:rsidR="000D0ADB" w:rsidRPr="000219CE" w:rsidRDefault="000D0ADB" w:rsidP="00E00CEA"/>
    <w:p w14:paraId="38471C57" w14:textId="77777777" w:rsidR="00E00CEA" w:rsidRPr="000219CE" w:rsidRDefault="00E00CEA" w:rsidP="00E00CEA"/>
    <w:p w14:paraId="27B90444" w14:textId="2BE7E50B" w:rsidR="005A0590" w:rsidRPr="000219CE" w:rsidRDefault="00E01816" w:rsidP="00157DC2">
      <w:pPr>
        <w:pStyle w:val="Heading2"/>
      </w:pPr>
      <w:bookmarkStart w:id="106" w:name="_Toc404346731"/>
      <w:bookmarkStart w:id="107" w:name="_Toc409532961"/>
      <w:r w:rsidRPr="000219CE">
        <w:t xml:space="preserve">Costs imposed by the </w:t>
      </w:r>
      <w:r w:rsidR="00E656A9" w:rsidRPr="000219CE">
        <w:t>tax system</w:t>
      </w:r>
      <w:r w:rsidRPr="000219CE">
        <w:t xml:space="preserve"> affect</w:t>
      </w:r>
      <w:r w:rsidR="005A0590" w:rsidRPr="000219CE">
        <w:t xml:space="preserve"> economic growth</w:t>
      </w:r>
      <w:r w:rsidR="00883EA2" w:rsidRPr="000219CE">
        <w:t xml:space="preserve"> and </w:t>
      </w:r>
      <w:r w:rsidR="00C10FD6" w:rsidRPr="000219CE">
        <w:t xml:space="preserve">the </w:t>
      </w:r>
      <w:r w:rsidR="00883EA2" w:rsidRPr="000219CE">
        <w:t>living standards</w:t>
      </w:r>
      <w:bookmarkEnd w:id="106"/>
      <w:r w:rsidR="00C10FD6" w:rsidRPr="000219CE">
        <w:t xml:space="preserve"> of Australians</w:t>
      </w:r>
      <w:bookmarkEnd w:id="107"/>
    </w:p>
    <w:p w14:paraId="6C062A48" w14:textId="6FFCF050" w:rsidR="00710A6B" w:rsidRPr="000219CE" w:rsidRDefault="001F27A9" w:rsidP="001F27A9">
      <w:r w:rsidRPr="000219CE">
        <w:t>Recent research supports the importance of tax settings for economic growth.</w:t>
      </w:r>
      <w:r w:rsidRPr="000219CE">
        <w:rPr>
          <w:vertAlign w:val="superscript"/>
        </w:rPr>
        <w:footnoteReference w:id="11"/>
      </w:r>
      <w:r w:rsidRPr="000219CE">
        <w:t xml:space="preserve"> </w:t>
      </w:r>
      <w:r w:rsidR="00464400" w:rsidRPr="000219CE">
        <w:t>G</w:t>
      </w:r>
      <w:r w:rsidRPr="000219CE">
        <w:t xml:space="preserve">reater </w:t>
      </w:r>
      <w:r w:rsidR="00464400" w:rsidRPr="000219CE">
        <w:t xml:space="preserve">global </w:t>
      </w:r>
      <w:r w:rsidRPr="000219CE">
        <w:t>economic integration means that investment</w:t>
      </w:r>
      <w:r w:rsidR="00464400" w:rsidRPr="000219CE">
        <w:t xml:space="preserve"> and</w:t>
      </w:r>
      <w:r w:rsidRPr="000219CE">
        <w:t xml:space="preserve"> highly skilled workers </w:t>
      </w:r>
      <w:r w:rsidR="00464400" w:rsidRPr="000219CE">
        <w:t xml:space="preserve">have become </w:t>
      </w:r>
      <w:r w:rsidR="00D6496A" w:rsidRPr="000219CE">
        <w:t xml:space="preserve">more </w:t>
      </w:r>
      <w:r w:rsidRPr="000219CE">
        <w:t xml:space="preserve">mobile. If tax settings are too high, Australia will be </w:t>
      </w:r>
      <w:r w:rsidR="00710A6B" w:rsidRPr="000219CE">
        <w:t xml:space="preserve">a </w:t>
      </w:r>
      <w:r w:rsidRPr="000219CE">
        <w:t>less attractive</w:t>
      </w:r>
      <w:r w:rsidR="00710A6B" w:rsidRPr="000219CE">
        <w:t xml:space="preserve"> place to invest and work</w:t>
      </w:r>
      <w:r w:rsidRPr="000219CE">
        <w:t xml:space="preserve"> and this will affect growth in </w:t>
      </w:r>
      <w:r w:rsidR="00656BD7" w:rsidRPr="000219CE">
        <w:t>Australians</w:t>
      </w:r>
      <w:r w:rsidR="00E53472">
        <w:t>’</w:t>
      </w:r>
      <w:r w:rsidR="00656BD7" w:rsidRPr="000219CE">
        <w:t xml:space="preserve"> </w:t>
      </w:r>
      <w:r w:rsidRPr="000219CE">
        <w:t xml:space="preserve">living standards. </w:t>
      </w:r>
    </w:p>
    <w:p w14:paraId="794DD7AD" w14:textId="3497B448" w:rsidR="001F27A9" w:rsidRPr="000219CE" w:rsidRDefault="00C55E23" w:rsidP="001F27A9">
      <w:pPr>
        <w:rPr>
          <w:strike/>
        </w:rPr>
      </w:pPr>
      <w:r w:rsidRPr="000219CE">
        <w:t>Other countries</w:t>
      </w:r>
      <w:r w:rsidR="002D1DD5" w:rsidRPr="000219CE">
        <w:t xml:space="preserve"> </w:t>
      </w:r>
      <w:r w:rsidR="007330AD" w:rsidRPr="000219CE">
        <w:t>in a similar position to Australia, with a</w:t>
      </w:r>
      <w:r w:rsidR="002D1DD5" w:rsidRPr="000219CE">
        <w:t xml:space="preserve"> limited capacity to influence global capital markets,</w:t>
      </w:r>
      <w:r w:rsidR="001F27A9" w:rsidRPr="000219CE">
        <w:t xml:space="preserve"> </w:t>
      </w:r>
      <w:r w:rsidR="00464400" w:rsidRPr="000219CE">
        <w:t>have generally sought to reduce the economic costs of taxation by having</w:t>
      </w:r>
      <w:r w:rsidR="001F27A9" w:rsidRPr="000219CE">
        <w:t xml:space="preserve"> lower taxes on mobile factors of production (</w:t>
      </w:r>
      <w:r w:rsidR="00556633">
        <w:t>especially</w:t>
      </w:r>
      <w:r w:rsidR="00A936C5" w:rsidRPr="000219CE">
        <w:t xml:space="preserve"> capital investment).</w:t>
      </w:r>
    </w:p>
    <w:p w14:paraId="1DA55DDB" w14:textId="6575E149" w:rsidR="001F27A9" w:rsidRPr="000219CE" w:rsidRDefault="001F27A9" w:rsidP="00457D02">
      <w:pPr>
        <w:pStyle w:val="Heading3"/>
      </w:pPr>
      <w:bookmarkStart w:id="108" w:name="_Toc404346732"/>
      <w:bookmarkStart w:id="109" w:name="_Toc409532962"/>
      <w:bookmarkStart w:id="110" w:name="_Toc402326855"/>
      <w:bookmarkStart w:id="111" w:name="_Toc402333507"/>
      <w:bookmarkStart w:id="112" w:name="_Toc402340283"/>
      <w:bookmarkStart w:id="113" w:name="_Toc402343378"/>
      <w:bookmarkStart w:id="114" w:name="_Toc402346614"/>
      <w:r w:rsidRPr="000219CE">
        <w:lastRenderedPageBreak/>
        <w:t>The tax system imposes economic costs by distorting the decisions of individuals and entities</w:t>
      </w:r>
      <w:bookmarkEnd w:id="108"/>
      <w:bookmarkEnd w:id="109"/>
      <w:r w:rsidRPr="000219CE">
        <w:t xml:space="preserve"> </w:t>
      </w:r>
      <w:bookmarkEnd w:id="110"/>
      <w:bookmarkEnd w:id="111"/>
      <w:bookmarkEnd w:id="112"/>
      <w:bookmarkEnd w:id="113"/>
      <w:bookmarkEnd w:id="114"/>
    </w:p>
    <w:p w14:paraId="51B5F1E9" w14:textId="7D91C6A1" w:rsidR="00710A6B" w:rsidRPr="000219CE" w:rsidRDefault="001F27A9" w:rsidP="001F27A9">
      <w:r w:rsidRPr="000219CE">
        <w:t xml:space="preserve">All tax systems impose </w:t>
      </w:r>
      <w:r w:rsidR="00E879CF" w:rsidRPr="000219CE">
        <w:t xml:space="preserve">economic costs </w:t>
      </w:r>
      <w:r w:rsidRPr="000219CE">
        <w:t xml:space="preserve">by </w:t>
      </w:r>
      <w:r w:rsidR="00990E5C" w:rsidRPr="000219CE">
        <w:t xml:space="preserve">altering </w:t>
      </w:r>
      <w:r w:rsidRPr="000219CE">
        <w:t xml:space="preserve">the decisions of individuals and entities </w:t>
      </w:r>
      <w:r w:rsidR="00920170" w:rsidRPr="000219CE">
        <w:t>and</w:t>
      </w:r>
      <w:r w:rsidRPr="000219CE">
        <w:t xml:space="preserve"> compliance costs associated with meeting tax obligations and administering the system.</w:t>
      </w:r>
    </w:p>
    <w:p w14:paraId="78FD6450" w14:textId="4E3649C3" w:rsidR="001F27A9" w:rsidRPr="000219CE" w:rsidRDefault="002F07B0" w:rsidP="001F27A9">
      <w:r w:rsidRPr="000219CE">
        <w:t>T</w:t>
      </w:r>
      <w:r w:rsidR="001F27A9" w:rsidRPr="000219CE">
        <w:t>ax system</w:t>
      </w:r>
      <w:r w:rsidRPr="000219CE">
        <w:t>s</w:t>
      </w:r>
      <w:r w:rsidR="001F27A9" w:rsidRPr="000219CE">
        <w:t xml:space="preserve"> impose economic costs by changing relative prices</w:t>
      </w:r>
      <w:r w:rsidR="00950DDA" w:rsidRPr="000219CE">
        <w:t>, which</w:t>
      </w:r>
      <w:r w:rsidR="001F27A9" w:rsidRPr="000219CE">
        <w:t xml:space="preserve"> </w:t>
      </w:r>
      <w:r w:rsidRPr="000219CE">
        <w:t xml:space="preserve">influence decisions </w:t>
      </w:r>
      <w:r w:rsidR="001F27A9" w:rsidRPr="000219CE">
        <w:t>individuals and entities</w:t>
      </w:r>
      <w:r w:rsidRPr="000219CE">
        <w:t xml:space="preserve"> make</w:t>
      </w:r>
      <w:r w:rsidR="001F27A9" w:rsidRPr="000219CE">
        <w:t xml:space="preserve"> to work, save, invest and employ. Different types of activities are taxed at different rates in the tax system</w:t>
      </w:r>
      <w:r w:rsidRPr="000219CE">
        <w:t>, which</w:t>
      </w:r>
      <w:r w:rsidR="001F27A9" w:rsidRPr="000219CE">
        <w:t xml:space="preserve"> means that taxes discourage some activities </w:t>
      </w:r>
      <w:r w:rsidRPr="000219CE">
        <w:t xml:space="preserve">while </w:t>
      </w:r>
      <w:r w:rsidR="001F27A9" w:rsidRPr="000219CE">
        <w:t>encourag</w:t>
      </w:r>
      <w:r w:rsidRPr="000219CE">
        <w:t>ing</w:t>
      </w:r>
      <w:r w:rsidR="001F27A9" w:rsidRPr="000219CE">
        <w:t xml:space="preserve"> other</w:t>
      </w:r>
      <w:r w:rsidRPr="000219CE">
        <w:t>s. T</w:t>
      </w:r>
      <w:r w:rsidR="001F27A9" w:rsidRPr="000219CE">
        <w:t xml:space="preserve">hese </w:t>
      </w:r>
      <w:r w:rsidR="00710A6B" w:rsidRPr="000219CE">
        <w:t>tax</w:t>
      </w:r>
      <w:r w:rsidR="00E53472">
        <w:noBreakHyphen/>
      </w:r>
      <w:r w:rsidR="00710A6B" w:rsidRPr="000219CE">
        <w:t xml:space="preserve">induced </w:t>
      </w:r>
      <w:r w:rsidR="001F27A9" w:rsidRPr="000219CE">
        <w:t>changes have costs to both the economy and households.</w:t>
      </w:r>
    </w:p>
    <w:p w14:paraId="2BFE4EB8" w14:textId="0BD3B9C0" w:rsidR="001F27A9" w:rsidRPr="000219CE" w:rsidRDefault="001F27A9" w:rsidP="001F27A9">
      <w:pPr>
        <w:rPr>
          <w:rFonts w:eastAsiaTheme="minorHAnsi"/>
        </w:rPr>
      </w:pPr>
      <w:r w:rsidRPr="000219CE">
        <w:t>In general, taxes have a greater impact on behaviour and</w:t>
      </w:r>
      <w:r w:rsidR="002F07B0" w:rsidRPr="000219CE">
        <w:t>,</w:t>
      </w:r>
      <w:r w:rsidRPr="000219CE">
        <w:t xml:space="preserve"> hence</w:t>
      </w:r>
      <w:r w:rsidR="002F07B0" w:rsidRPr="000219CE">
        <w:t>,</w:t>
      </w:r>
      <w:r w:rsidRPr="000219CE">
        <w:t xml:space="preserve"> a greater cost to economic growth and household living standards, where the tax is </w:t>
      </w:r>
      <w:r w:rsidRPr="000219CE">
        <w:rPr>
          <w:rFonts w:eastAsiaTheme="minorHAnsi"/>
        </w:rPr>
        <w:t xml:space="preserve">levied at </w:t>
      </w:r>
      <w:r w:rsidRPr="000219CE">
        <w:t xml:space="preserve">a </w:t>
      </w:r>
      <w:r w:rsidRPr="000219CE">
        <w:rPr>
          <w:rFonts w:eastAsiaTheme="minorHAnsi"/>
        </w:rPr>
        <w:t>high rate and</w:t>
      </w:r>
      <w:r w:rsidRPr="000219CE">
        <w:t xml:space="preserve">/or when it is </w:t>
      </w:r>
      <w:r w:rsidRPr="000219CE">
        <w:rPr>
          <w:rFonts w:eastAsiaTheme="minorHAnsi"/>
        </w:rPr>
        <w:t xml:space="preserve">easier for a person </w:t>
      </w:r>
      <w:r w:rsidRPr="000219CE">
        <w:t xml:space="preserve">or entity </w:t>
      </w:r>
      <w:r w:rsidRPr="000219CE">
        <w:rPr>
          <w:rFonts w:eastAsiaTheme="minorHAnsi"/>
        </w:rPr>
        <w:t>to reduce</w:t>
      </w:r>
      <w:r w:rsidRPr="000219CE">
        <w:t xml:space="preserve"> tax </w:t>
      </w:r>
      <w:r w:rsidR="000907AF" w:rsidRPr="000219CE">
        <w:t>by</w:t>
      </w:r>
      <w:r w:rsidR="00510086" w:rsidRPr="000219CE">
        <w:t xml:space="preserve"> </w:t>
      </w:r>
      <w:r w:rsidRPr="000219CE">
        <w:t>chang</w:t>
      </w:r>
      <w:r w:rsidR="00F5575B" w:rsidRPr="000219CE">
        <w:t>ing</w:t>
      </w:r>
      <w:r w:rsidR="00510086" w:rsidRPr="000219CE">
        <w:t xml:space="preserve"> </w:t>
      </w:r>
      <w:r w:rsidRPr="000219CE">
        <w:t>behaviour</w:t>
      </w:r>
      <w:r w:rsidRPr="000219CE">
        <w:rPr>
          <w:rFonts w:eastAsiaTheme="minorHAnsi"/>
        </w:rPr>
        <w:t>.</w:t>
      </w:r>
    </w:p>
    <w:p w14:paraId="561EB3D9" w14:textId="28C2BA28" w:rsidR="001F27A9" w:rsidRPr="000219CE" w:rsidRDefault="001F27A9" w:rsidP="001F27A9">
      <w:r w:rsidRPr="000219CE">
        <w:t xml:space="preserve">Taxes applied to narrower economic bases due to exemptions and concessions have to be set at higher rates to raise the same amount of revenue </w:t>
      </w:r>
      <w:r w:rsidR="00487C0F" w:rsidRPr="000219CE">
        <w:t xml:space="preserve">compared to </w:t>
      </w:r>
      <w:r w:rsidRPr="000219CE">
        <w:t>tax</w:t>
      </w:r>
      <w:r w:rsidR="00656BD7" w:rsidRPr="000219CE">
        <w:t>es</w:t>
      </w:r>
      <w:r w:rsidRPr="000219CE">
        <w:t xml:space="preserve"> applied across broad base</w:t>
      </w:r>
      <w:r w:rsidR="00656BD7" w:rsidRPr="000219CE">
        <w:t>s</w:t>
      </w:r>
      <w:r w:rsidRPr="000219CE">
        <w:t xml:space="preserve">. </w:t>
      </w:r>
      <w:r w:rsidR="006E328A" w:rsidRPr="000219CE">
        <w:t>Generally, a</w:t>
      </w:r>
      <w:r w:rsidRPr="000219CE">
        <w:t xml:space="preserve"> tax applied at </w:t>
      </w:r>
      <w:r w:rsidR="00950DDA" w:rsidRPr="000219CE">
        <w:t xml:space="preserve">a </w:t>
      </w:r>
      <w:r w:rsidRPr="000219CE">
        <w:t xml:space="preserve">higher rate on a narrower base will have higher economic costs than </w:t>
      </w:r>
      <w:r w:rsidR="00222722" w:rsidRPr="000219CE">
        <w:t xml:space="preserve">if </w:t>
      </w:r>
      <w:r w:rsidRPr="000219CE">
        <w:t>applied more broadly at a lower rate.</w:t>
      </w:r>
    </w:p>
    <w:p w14:paraId="5D8790E8" w14:textId="1B3910B5" w:rsidR="00315BF0" w:rsidRPr="000219CE" w:rsidRDefault="001061BA" w:rsidP="00457D02">
      <w:pPr>
        <w:pStyle w:val="Heading3"/>
      </w:pPr>
      <w:bookmarkStart w:id="115" w:name="_Toc404346733"/>
      <w:bookmarkStart w:id="116" w:name="_Toc409532963"/>
      <w:r w:rsidRPr="000219CE">
        <w:t>Modelling suggests that some taxes with high costs to economic growth and living standards are company tax and stamp duties</w:t>
      </w:r>
      <w:bookmarkEnd w:id="115"/>
      <w:bookmarkEnd w:id="116"/>
    </w:p>
    <w:p w14:paraId="72E65EDA" w14:textId="37E2757F" w:rsidR="001F27A9" w:rsidRPr="000219CE" w:rsidRDefault="00BF6877" w:rsidP="00CA78A6">
      <w:pPr>
        <w:spacing w:after="120"/>
      </w:pPr>
      <w:r w:rsidRPr="000219CE">
        <w:t>Recent</w:t>
      </w:r>
      <w:r w:rsidR="00116AC2" w:rsidRPr="000219CE">
        <w:t xml:space="preserve"> Treasury </w:t>
      </w:r>
      <w:r w:rsidR="000B15C8" w:rsidRPr="000219CE">
        <w:t>m</w:t>
      </w:r>
      <w:r w:rsidR="001F27A9" w:rsidRPr="000219CE">
        <w:t xml:space="preserve">odelling of the major taxes in Australia suggests the taxes with high </w:t>
      </w:r>
      <w:r w:rsidR="002412B9" w:rsidRPr="000219CE">
        <w:t>long</w:t>
      </w:r>
      <w:r w:rsidR="00E53472">
        <w:noBreakHyphen/>
      </w:r>
      <w:r w:rsidR="002412B9" w:rsidRPr="000219CE">
        <w:t xml:space="preserve">term </w:t>
      </w:r>
      <w:r w:rsidR="001F27A9" w:rsidRPr="000219CE">
        <w:t xml:space="preserve">costs </w:t>
      </w:r>
      <w:r w:rsidR="002412B9" w:rsidRPr="000219CE">
        <w:t>for living standards (</w:t>
      </w:r>
      <w:r w:rsidR="001F27A9" w:rsidRPr="000219CE">
        <w:t xml:space="preserve">measured as the </w:t>
      </w:r>
      <w:r w:rsidR="00E53472">
        <w:t>‘</w:t>
      </w:r>
      <w:r w:rsidR="00BA34E3" w:rsidRPr="000219CE">
        <w:t xml:space="preserve">marginal </w:t>
      </w:r>
      <w:r w:rsidR="001F27A9" w:rsidRPr="000219CE">
        <w:t>excess burden</w:t>
      </w:r>
      <w:r w:rsidR="00E53472">
        <w:t>’</w:t>
      </w:r>
      <w:r w:rsidR="001F27A9" w:rsidRPr="000219CE">
        <w:rPr>
          <w:rStyle w:val="FootnoteReference"/>
          <w:sz w:val="18"/>
        </w:rPr>
        <w:footnoteReference w:id="12"/>
      </w:r>
      <w:r w:rsidR="002412B9" w:rsidRPr="000219CE">
        <w:t>)</w:t>
      </w:r>
      <w:r w:rsidR="001F27A9" w:rsidRPr="000219CE">
        <w:t xml:space="preserve"> are company income tax and stamp duties (</w:t>
      </w:r>
      <w:r w:rsidR="00431094" w:rsidRPr="000219CE">
        <w:t>C</w:t>
      </w:r>
      <w:r w:rsidR="001F27A9" w:rsidRPr="000219CE">
        <w:t>hart</w:t>
      </w:r>
      <w:r w:rsidR="00E97F32" w:rsidRPr="000219CE">
        <w:t xml:space="preserve"> 2</w:t>
      </w:r>
      <w:r w:rsidR="004F4CD2" w:rsidRPr="000219CE">
        <w:t>.</w:t>
      </w:r>
      <w:r w:rsidR="002F25DE">
        <w:t>9</w:t>
      </w:r>
      <w:r w:rsidR="001F27A9" w:rsidRPr="000219CE">
        <w:t>).</w:t>
      </w:r>
      <w:r w:rsidR="00097FBF" w:rsidRPr="000219CE">
        <w:rPr>
          <w:rStyle w:val="FootnoteReference"/>
        </w:rPr>
        <w:footnoteReference w:id="13"/>
      </w:r>
      <w:r w:rsidR="001F27A9" w:rsidRPr="000219CE">
        <w:t xml:space="preserve"> Company income tax has a high </w:t>
      </w:r>
      <w:r w:rsidR="00BA34E3" w:rsidRPr="000219CE">
        <w:t xml:space="preserve">marginal </w:t>
      </w:r>
      <w:r w:rsidR="001F27A9" w:rsidRPr="000219CE">
        <w:t xml:space="preserve">excess burden because of the </w:t>
      </w:r>
      <w:r w:rsidR="00D31356" w:rsidRPr="000219CE">
        <w:t xml:space="preserve">relatively </w:t>
      </w:r>
      <w:r w:rsidR="001F27A9" w:rsidRPr="000219CE">
        <w:t>high company tax rate of 30 per cent in Australia, combined with the high level of mobility of the underlying tax base. Conveyancing stamp duties also have a high excess burden because they discourage the exchange of residential and business properties</w:t>
      </w:r>
      <w:r w:rsidR="00814B97" w:rsidRPr="000219CE">
        <w:t xml:space="preserve">. </w:t>
      </w:r>
      <w:r w:rsidR="000B15C8" w:rsidRPr="000219CE">
        <w:t xml:space="preserve">Other modelling also suggests that insurance duties have </w:t>
      </w:r>
      <w:r w:rsidR="001A47A2" w:rsidRPr="000219CE">
        <w:t xml:space="preserve">fairly </w:t>
      </w:r>
      <w:r w:rsidR="000B15C8" w:rsidRPr="000219CE">
        <w:t>high costs</w:t>
      </w:r>
      <w:r w:rsidR="000F1340" w:rsidRPr="000219CE">
        <w:t xml:space="preserve"> because </w:t>
      </w:r>
      <w:r w:rsidR="00870648" w:rsidRPr="000219CE">
        <w:t xml:space="preserve">they </w:t>
      </w:r>
      <w:r w:rsidR="000F1340" w:rsidRPr="000219CE">
        <w:t>discourage some households from taking</w:t>
      </w:r>
      <w:r w:rsidR="005B611D" w:rsidRPr="000219CE">
        <w:t xml:space="preserve"> </w:t>
      </w:r>
      <w:r w:rsidR="000F1340" w:rsidRPr="000219CE">
        <w:t xml:space="preserve">out </w:t>
      </w:r>
      <w:r w:rsidR="00EF4B82" w:rsidRPr="000219CE">
        <w:t xml:space="preserve">appropriate levels of </w:t>
      </w:r>
      <w:r w:rsidR="000F1340" w:rsidRPr="000219CE">
        <w:t>insurance</w:t>
      </w:r>
      <w:r w:rsidR="005869A2" w:rsidRPr="000219CE">
        <w:t>.</w:t>
      </w:r>
      <w:r w:rsidR="000B15C8" w:rsidRPr="000219CE">
        <w:rPr>
          <w:rStyle w:val="FootnoteReference"/>
        </w:rPr>
        <w:footnoteReference w:id="14"/>
      </w:r>
    </w:p>
    <w:p w14:paraId="23EEDBE0" w14:textId="0CDA8851" w:rsidR="00C12A3D" w:rsidRPr="000219CE" w:rsidRDefault="00F37E7D" w:rsidP="00667301">
      <w:pPr>
        <w:pStyle w:val="ChartMainHeading"/>
      </w:pPr>
      <w:bookmarkStart w:id="117" w:name="_Ref404263487"/>
      <w:proofErr w:type="gramStart"/>
      <w:r w:rsidRPr="000219CE">
        <w:lastRenderedPageBreak/>
        <w:t xml:space="preserve">Chart </w:t>
      </w:r>
      <w:fldSimple w:instr=" STYLEREF 1 \s ">
        <w:r w:rsidR="0068169D">
          <w:rPr>
            <w:noProof/>
          </w:rPr>
          <w:t>2</w:t>
        </w:r>
      </w:fldSimple>
      <w:r w:rsidR="007B4589" w:rsidRPr="000219CE">
        <w:t>.</w:t>
      </w:r>
      <w:proofErr w:type="gramEnd"/>
      <w:r w:rsidR="0068169D">
        <w:fldChar w:fldCharType="begin"/>
      </w:r>
      <w:r w:rsidR="0068169D">
        <w:instrText xml:space="preserve"> SEQ Chart \* ARABIC \s 1 </w:instrText>
      </w:r>
      <w:r w:rsidR="0068169D">
        <w:fldChar w:fldCharType="separate"/>
      </w:r>
      <w:r w:rsidR="0068169D">
        <w:rPr>
          <w:noProof/>
        </w:rPr>
        <w:t>9</w:t>
      </w:r>
      <w:r w:rsidR="0068169D">
        <w:rPr>
          <w:noProof/>
        </w:rPr>
        <w:fldChar w:fldCharType="end"/>
      </w:r>
      <w:bookmarkEnd w:id="117"/>
      <w:r w:rsidRPr="000219CE">
        <w:t xml:space="preserve"> </w:t>
      </w:r>
      <w:r w:rsidR="00D64DEC" w:rsidRPr="000219CE">
        <w:t>Long</w:t>
      </w:r>
      <w:r w:rsidR="00E53472">
        <w:noBreakHyphen/>
      </w:r>
      <w:r w:rsidR="00D64DEC" w:rsidRPr="000219CE">
        <w:t xml:space="preserve">run </w:t>
      </w:r>
      <w:r w:rsidR="00E0706B" w:rsidRPr="000219CE">
        <w:t>modelling</w:t>
      </w:r>
      <w:r w:rsidR="0011589E" w:rsidRPr="000219CE">
        <w:t xml:space="preserve"> </w:t>
      </w:r>
      <w:r w:rsidR="00D64DEC" w:rsidRPr="000219CE">
        <w:t>e</w:t>
      </w:r>
      <w:r w:rsidR="00D93BD7" w:rsidRPr="000219CE">
        <w:t>stimates of the</w:t>
      </w:r>
      <w:r w:rsidR="00C12A3D" w:rsidRPr="000219CE">
        <w:t xml:space="preserve"> </w:t>
      </w:r>
      <w:r w:rsidR="0068327E" w:rsidRPr="000219CE">
        <w:t xml:space="preserve">marginal </w:t>
      </w:r>
      <w:r w:rsidR="00C12A3D" w:rsidRPr="000219CE">
        <w:t>excess burden of some of Australia</w:t>
      </w:r>
      <w:r w:rsidR="00E53472">
        <w:t>’</w:t>
      </w:r>
      <w:r w:rsidR="00D93BD7" w:rsidRPr="000219CE">
        <w:t>s</w:t>
      </w:r>
      <w:r w:rsidR="009D0589">
        <w:t> </w:t>
      </w:r>
      <w:r w:rsidR="00C12A3D" w:rsidRPr="000219CE">
        <w:t>taxes</w:t>
      </w:r>
    </w:p>
    <w:bookmarkStart w:id="118" w:name="_1479113950"/>
    <w:bookmarkStart w:id="119" w:name="_1479125796"/>
    <w:bookmarkStart w:id="120" w:name="_1479126010"/>
    <w:bookmarkStart w:id="121" w:name="_1479126027"/>
    <w:bookmarkStart w:id="122" w:name="_1479205589"/>
    <w:bookmarkStart w:id="123" w:name="_1479276242"/>
    <w:bookmarkStart w:id="124" w:name="_1479276467"/>
    <w:bookmarkStart w:id="125" w:name="_1479281312"/>
    <w:bookmarkStart w:id="126" w:name="_1479282834"/>
    <w:bookmarkStart w:id="127" w:name="_1479283258"/>
    <w:bookmarkStart w:id="128" w:name="_1479284774"/>
    <w:bookmarkStart w:id="129" w:name="_1479726874"/>
    <w:bookmarkStart w:id="130" w:name="_1479727095"/>
    <w:bookmarkStart w:id="131" w:name="_1479726792"/>
    <w:bookmarkStart w:id="132" w:name="_1479726988"/>
    <w:bookmarkStart w:id="133" w:name="_1479729090"/>
    <w:bookmarkStart w:id="134" w:name="_1479735438"/>
    <w:bookmarkStart w:id="135" w:name="_1479801145"/>
    <w:bookmarkStart w:id="136" w:name="_1479809917"/>
    <w:bookmarkStart w:id="137" w:name="_1479889043"/>
    <w:bookmarkStart w:id="138" w:name="_1479889276"/>
    <w:bookmarkStart w:id="139" w:name="_1479890308"/>
    <w:bookmarkStart w:id="140" w:name="_1479986360"/>
    <w:bookmarkStart w:id="141" w:name="_1479986622"/>
    <w:bookmarkStart w:id="142" w:name="_1479988618"/>
    <w:bookmarkStart w:id="143" w:name="_1479991049"/>
    <w:bookmarkStart w:id="144" w:name="_1479992510"/>
    <w:bookmarkStart w:id="145" w:name="_1479995286"/>
    <w:bookmarkStart w:id="146" w:name="_1479995753"/>
    <w:bookmarkStart w:id="147" w:name="_1479993384"/>
    <w:bookmarkStart w:id="148" w:name="_1479994076"/>
    <w:bookmarkStart w:id="149" w:name="_1479996117"/>
    <w:bookmarkStart w:id="150" w:name="_1480001389"/>
    <w:bookmarkStart w:id="151" w:name="_1480001404"/>
    <w:bookmarkStart w:id="152" w:name="_1480001654"/>
    <w:bookmarkStart w:id="153" w:name="_1480002419"/>
    <w:bookmarkStart w:id="154" w:name="_1480002338"/>
    <w:bookmarkStart w:id="155" w:name="_1480151330"/>
    <w:bookmarkStart w:id="156" w:name="_148015349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1E2BF7D7" w14:textId="767FE105" w:rsidR="00C12A3D" w:rsidRPr="000219CE" w:rsidRDefault="006001B0" w:rsidP="006001B0">
      <w:pPr>
        <w:pStyle w:val="ChartGraphic"/>
      </w:pPr>
      <w:r>
        <w:fldChar w:fldCharType="begin" w:fldLock="1"/>
      </w:r>
      <w:r>
        <w:instrText xml:space="preserve"> LINK Excel.Sheet.12 "" "" \a \p </w:instrText>
      </w:r>
      <w:r>
        <w:fldChar w:fldCharType="separate"/>
      </w:r>
      <w:r w:rsidR="00E74948">
        <w:object w:dxaOrig="8640" w:dyaOrig="4815" w14:anchorId="30E4547C">
          <v:shape id="_x0000_i1036" type="#_x0000_t75" alt="Chart 2.9 Long -run modelling estimates of the marginal excess burden of some of Australia’s taxes&#10;This chart plots the marginal excess burdens of stamp duties on conveyances, company income tax, flat rate labour income tax, goods and services tax, broad based goods and services tax and municipal rates and land tax, as well as an illustrative marginal excess burden for the progressive labour income tax.&#10;" style="width:6in;height:240.5pt">
            <v:imagedata r:id="rId45" o:title=""/>
          </v:shape>
        </w:object>
      </w:r>
      <w:r>
        <w:fldChar w:fldCharType="end"/>
      </w:r>
    </w:p>
    <w:p w14:paraId="6D1CD69C" w14:textId="6AAA71EB" w:rsidR="007B4589" w:rsidRPr="000219CE" w:rsidRDefault="00D93BD7" w:rsidP="00667301">
      <w:pPr>
        <w:pStyle w:val="ChartandTableNote"/>
        <w:spacing w:before="40"/>
        <w:ind w:left="284"/>
      </w:pPr>
      <w:r w:rsidRPr="000219CE">
        <w:t xml:space="preserve">Note: </w:t>
      </w:r>
      <w:r w:rsidR="008C6FC4" w:rsidRPr="000219CE">
        <w:t xml:space="preserve">Marginal excess burdens were estimated using a </w:t>
      </w:r>
      <w:r w:rsidR="003A0D16" w:rsidRPr="000219CE">
        <w:t>long</w:t>
      </w:r>
      <w:r w:rsidR="00E53472">
        <w:noBreakHyphen/>
      </w:r>
      <w:r w:rsidR="003A0D16" w:rsidRPr="000219CE">
        <w:t xml:space="preserve">run </w:t>
      </w:r>
      <w:r w:rsidR="008C6FC4" w:rsidRPr="000219CE">
        <w:t xml:space="preserve">CGE model of the Australian economy and tax system. Australian households are </w:t>
      </w:r>
      <w:r w:rsidR="00F84E08" w:rsidRPr="000219CE">
        <w:t xml:space="preserve">captured as </w:t>
      </w:r>
      <w:r w:rsidR="008C6FC4" w:rsidRPr="000219CE">
        <w:t>a single economic unit</w:t>
      </w:r>
      <w:r w:rsidR="003C10A4" w:rsidRPr="000219CE">
        <w:t xml:space="preserve"> </w:t>
      </w:r>
      <w:r w:rsidR="008C6FC4" w:rsidRPr="000219CE">
        <w:t>in this model</w:t>
      </w:r>
      <w:r w:rsidR="00437472" w:rsidRPr="000219CE">
        <w:t>. The labour income tax is modelled as a</w:t>
      </w:r>
      <w:r w:rsidR="00F84E08" w:rsidRPr="000219CE">
        <w:t xml:space="preserve"> </w:t>
      </w:r>
      <w:r w:rsidR="00437472" w:rsidRPr="000219CE">
        <w:t xml:space="preserve">stylised </w:t>
      </w:r>
      <w:r w:rsidR="00F84E08" w:rsidRPr="000219CE">
        <w:t xml:space="preserve">flat </w:t>
      </w:r>
      <w:r w:rsidR="00437472" w:rsidRPr="000219CE">
        <w:t>tax on labour income only</w:t>
      </w:r>
      <w:r w:rsidR="008C6FC4" w:rsidRPr="000219CE">
        <w:t xml:space="preserve">. </w:t>
      </w:r>
      <w:r w:rsidR="00F84E08" w:rsidRPr="000219CE">
        <w:t xml:space="preserve">An </w:t>
      </w:r>
      <w:r w:rsidR="00D95420" w:rsidRPr="000219CE">
        <w:t>out</w:t>
      </w:r>
      <w:r w:rsidR="00E53472">
        <w:noBreakHyphen/>
      </w:r>
      <w:r w:rsidR="00D95420" w:rsidRPr="000219CE">
        <w:t>of</w:t>
      </w:r>
      <w:r w:rsidR="00E53472">
        <w:noBreakHyphen/>
      </w:r>
      <w:r w:rsidR="00D95420" w:rsidRPr="000219CE">
        <w:t xml:space="preserve">model calculation for a marginal tax rate </w:t>
      </w:r>
      <w:r w:rsidR="00C84DA8" w:rsidRPr="000219CE">
        <w:t xml:space="preserve">(MTR) </w:t>
      </w:r>
      <w:r w:rsidR="00D95420" w:rsidRPr="000219CE">
        <w:t xml:space="preserve">of </w:t>
      </w:r>
      <w:r w:rsidR="00B25459" w:rsidRPr="000219CE">
        <w:t>2</w:t>
      </w:r>
      <w:r w:rsidR="00D95420" w:rsidRPr="000219CE">
        <w:t>5 per cent is presented as an</w:t>
      </w:r>
      <w:r w:rsidR="00F84E08" w:rsidRPr="000219CE">
        <w:t xml:space="preserve"> illustrati</w:t>
      </w:r>
      <w:r w:rsidR="00B25459" w:rsidRPr="000219CE">
        <w:t>on</w:t>
      </w:r>
      <w:r w:rsidR="00491F7B" w:rsidRPr="000219CE">
        <w:t xml:space="preserve"> of </w:t>
      </w:r>
      <w:r w:rsidR="00A33CFA" w:rsidRPr="000219CE">
        <w:t>an</w:t>
      </w:r>
      <w:r w:rsidR="00491F7B" w:rsidRPr="000219CE">
        <w:t xml:space="preserve"> average taxpayer in 2011</w:t>
      </w:r>
      <w:r w:rsidR="00E53472">
        <w:noBreakHyphen/>
      </w:r>
      <w:r w:rsidR="00491F7B" w:rsidRPr="000219CE">
        <w:t>12</w:t>
      </w:r>
      <w:r w:rsidR="00F84E08" w:rsidRPr="000219CE">
        <w:t xml:space="preserve">. </w:t>
      </w:r>
      <w:r w:rsidR="00B25B01" w:rsidRPr="000219CE">
        <w:t>T</w:t>
      </w:r>
      <w:r w:rsidR="00E50E2A" w:rsidRPr="000219CE">
        <w:t xml:space="preserve">ransfer payments </w:t>
      </w:r>
      <w:r w:rsidR="00B25B01" w:rsidRPr="000219CE">
        <w:t>are</w:t>
      </w:r>
      <w:r w:rsidR="00E50E2A" w:rsidRPr="000219CE">
        <w:t xml:space="preserve"> not </w:t>
      </w:r>
      <w:r w:rsidR="00B25B01" w:rsidRPr="000219CE">
        <w:t>captur</w:t>
      </w:r>
      <w:r w:rsidR="00E50E2A" w:rsidRPr="000219CE">
        <w:t xml:space="preserve">ed in this model. </w:t>
      </w:r>
      <w:r w:rsidR="008C6FC4" w:rsidRPr="000219CE">
        <w:t>For more information on this modelling</w:t>
      </w:r>
      <w:r w:rsidR="00B477B7" w:rsidRPr="000219CE">
        <w:t xml:space="preserve">, as well as analysis of a stylised capital component of </w:t>
      </w:r>
      <w:r w:rsidR="00A21E2D" w:rsidRPr="000219CE">
        <w:t>individuals</w:t>
      </w:r>
      <w:r w:rsidR="00B477B7" w:rsidRPr="000219CE">
        <w:t xml:space="preserve"> taxation,</w:t>
      </w:r>
      <w:r w:rsidR="008C6FC4" w:rsidRPr="000219CE">
        <w:t xml:space="preserve"> see </w:t>
      </w:r>
      <w:r w:rsidR="00223CEC" w:rsidRPr="000219CE">
        <w:t xml:space="preserve">the </w:t>
      </w:r>
      <w:r w:rsidR="007E34F5" w:rsidRPr="000219CE">
        <w:t xml:space="preserve">Australian </w:t>
      </w:r>
      <w:r w:rsidR="00223CEC" w:rsidRPr="000219CE">
        <w:t>Treasury working paper</w:t>
      </w:r>
      <w:r w:rsidR="00E87929" w:rsidRPr="000219CE">
        <w:t xml:space="preserve"> </w:t>
      </w:r>
      <w:r w:rsidR="00303AD6" w:rsidRPr="009D0589">
        <w:t>forthcoming</w:t>
      </w:r>
      <w:r w:rsidR="00E87929" w:rsidRPr="000219CE">
        <w:t>,</w:t>
      </w:r>
      <w:r w:rsidR="00223CEC" w:rsidRPr="000219CE">
        <w:t xml:space="preserve"> </w:t>
      </w:r>
      <w:r w:rsidR="00223CEC" w:rsidRPr="000219CE">
        <w:rPr>
          <w:i/>
        </w:rPr>
        <w:t>Understanding the economy</w:t>
      </w:r>
      <w:r w:rsidR="00E53472">
        <w:rPr>
          <w:i/>
        </w:rPr>
        <w:noBreakHyphen/>
      </w:r>
      <w:r w:rsidR="00223CEC" w:rsidRPr="000219CE">
        <w:rPr>
          <w:i/>
        </w:rPr>
        <w:t>wide efficiency and incidence of major Australian taxes</w:t>
      </w:r>
      <w:r w:rsidR="00223CEC" w:rsidRPr="000219CE">
        <w:t>.</w:t>
      </w:r>
    </w:p>
    <w:p w14:paraId="1DC5F8BD" w14:textId="06621E94" w:rsidR="00D93BD7" w:rsidRPr="000219CE" w:rsidRDefault="00D93BD7" w:rsidP="000D0ADB">
      <w:pPr>
        <w:pStyle w:val="ChartandTableNote"/>
        <w:ind w:left="284"/>
      </w:pPr>
      <w:r w:rsidRPr="000219CE">
        <w:t>Source: Treasury estimates.</w:t>
      </w:r>
    </w:p>
    <w:p w14:paraId="6531E356" w14:textId="77777777" w:rsidR="000D0ADB" w:rsidRPr="000219CE" w:rsidRDefault="000D0ADB" w:rsidP="00667301"/>
    <w:p w14:paraId="28508029" w14:textId="1150ABFB" w:rsidR="00EB282E" w:rsidRPr="000219CE" w:rsidRDefault="00870648" w:rsidP="00E53472">
      <w:r w:rsidRPr="000219CE">
        <w:t>The GST and t</w:t>
      </w:r>
      <w:r w:rsidR="001F27A9" w:rsidRPr="000219CE">
        <w:t xml:space="preserve">axes on labour, </w:t>
      </w:r>
      <w:r w:rsidR="000F1340" w:rsidRPr="000219CE">
        <w:t>particular</w:t>
      </w:r>
      <w:r w:rsidRPr="000219CE">
        <w:t>ly</w:t>
      </w:r>
      <w:r w:rsidR="000F1340" w:rsidRPr="000219CE">
        <w:t xml:space="preserve"> through the</w:t>
      </w:r>
      <w:r w:rsidR="001F27A9" w:rsidRPr="000219CE">
        <w:t xml:space="preserve"> </w:t>
      </w:r>
      <w:proofErr w:type="gramStart"/>
      <w:r w:rsidR="00A21E2D" w:rsidRPr="000219CE">
        <w:t>individuals</w:t>
      </w:r>
      <w:proofErr w:type="gramEnd"/>
      <w:r w:rsidR="00710A6B" w:rsidRPr="000219CE">
        <w:t xml:space="preserve"> </w:t>
      </w:r>
      <w:r w:rsidR="001F27A9" w:rsidRPr="000219CE">
        <w:t>income tax</w:t>
      </w:r>
      <w:r w:rsidR="000F1340" w:rsidRPr="000219CE">
        <w:t xml:space="preserve"> system</w:t>
      </w:r>
      <w:r w:rsidR="001F27A9" w:rsidRPr="000219CE">
        <w:t xml:space="preserve">, have a medium </w:t>
      </w:r>
      <w:r w:rsidR="005B611D" w:rsidRPr="000219CE">
        <w:t xml:space="preserve">marginal </w:t>
      </w:r>
      <w:r w:rsidR="001F27A9" w:rsidRPr="000219CE">
        <w:t xml:space="preserve">excess burden. These taxes affect the decisions </w:t>
      </w:r>
      <w:r w:rsidRPr="000219CE">
        <w:t>people make about</w:t>
      </w:r>
      <w:r w:rsidR="001F27A9" w:rsidRPr="000219CE">
        <w:t xml:space="preserve"> how much time </w:t>
      </w:r>
      <w:r w:rsidRPr="000219CE">
        <w:t>they spend</w:t>
      </w:r>
      <w:r w:rsidR="001F27A9" w:rsidRPr="000219CE">
        <w:t xml:space="preserve"> in paid employment (and</w:t>
      </w:r>
      <w:r w:rsidRPr="000219CE">
        <w:t>,</w:t>
      </w:r>
      <w:r w:rsidR="001F27A9" w:rsidRPr="000219CE">
        <w:t xml:space="preserve"> in turn</w:t>
      </w:r>
      <w:r w:rsidRPr="000219CE">
        <w:t>,</w:t>
      </w:r>
      <w:r w:rsidR="001F27A9" w:rsidRPr="000219CE">
        <w:t xml:space="preserve"> the amount of goods and services </w:t>
      </w:r>
      <w:r w:rsidRPr="000219CE">
        <w:t xml:space="preserve">they </w:t>
      </w:r>
      <w:r w:rsidR="001F27A9" w:rsidRPr="000219CE">
        <w:t>can consume with this income</w:t>
      </w:r>
      <w:r w:rsidR="00920170" w:rsidRPr="000219CE">
        <w:t>,</w:t>
      </w:r>
      <w:r w:rsidR="001F27A9" w:rsidRPr="000219CE">
        <w:t xml:space="preserve"> or save) versus leisure or unpaid work </w:t>
      </w:r>
      <w:r w:rsidR="00FE0F65" w:rsidRPr="000219CE">
        <w:t xml:space="preserve">at </w:t>
      </w:r>
      <w:r w:rsidR="001F27A9" w:rsidRPr="000219CE">
        <w:t>home.</w:t>
      </w:r>
    </w:p>
    <w:p w14:paraId="2A16B8F2" w14:textId="03310535" w:rsidR="001F27A9" w:rsidRPr="000219CE" w:rsidRDefault="00A21E2D" w:rsidP="00E53472">
      <w:proofErr w:type="gramStart"/>
      <w:r w:rsidRPr="000219CE">
        <w:t>Individuals</w:t>
      </w:r>
      <w:proofErr w:type="gramEnd"/>
      <w:r w:rsidR="00710A6B" w:rsidRPr="000219CE">
        <w:t xml:space="preserve"> </w:t>
      </w:r>
      <w:r w:rsidR="001F27A9" w:rsidRPr="000219CE">
        <w:t xml:space="preserve">income tax </w:t>
      </w:r>
      <w:r w:rsidR="00901BC6" w:rsidRPr="000219CE">
        <w:t xml:space="preserve">on labour </w:t>
      </w:r>
      <w:r w:rsidR="00870648" w:rsidRPr="000219CE">
        <w:t xml:space="preserve">is </w:t>
      </w:r>
      <w:r w:rsidR="00EF4B82" w:rsidRPr="000219CE">
        <w:t>sometimes assessed</w:t>
      </w:r>
      <w:r w:rsidR="00870648" w:rsidRPr="000219CE">
        <w:t xml:space="preserve"> as </w:t>
      </w:r>
      <w:r w:rsidR="001F27A9" w:rsidRPr="000219CE">
        <w:t>hav</w:t>
      </w:r>
      <w:r w:rsidR="00870648" w:rsidRPr="000219CE">
        <w:t>ing</w:t>
      </w:r>
      <w:r w:rsidR="001F27A9" w:rsidRPr="000219CE">
        <w:t xml:space="preserve"> higher </w:t>
      </w:r>
      <w:r w:rsidR="00F51E37" w:rsidRPr="000219CE">
        <w:t xml:space="preserve">economic </w:t>
      </w:r>
      <w:r w:rsidR="001F27A9" w:rsidRPr="000219CE">
        <w:t>costs than the GST because of the progressive rates scale</w:t>
      </w:r>
      <w:r w:rsidR="00710A6B" w:rsidRPr="000219CE">
        <w:t xml:space="preserve">. A </w:t>
      </w:r>
      <w:r w:rsidR="005B611D" w:rsidRPr="000219CE">
        <w:t xml:space="preserve">key feature of </w:t>
      </w:r>
      <w:r w:rsidR="00710A6B" w:rsidRPr="000219CE">
        <w:t xml:space="preserve">a progressive </w:t>
      </w:r>
      <w:proofErr w:type="gramStart"/>
      <w:r w:rsidRPr="000219CE">
        <w:t>individuals</w:t>
      </w:r>
      <w:proofErr w:type="gramEnd"/>
      <w:r w:rsidR="00710A6B" w:rsidRPr="000219CE">
        <w:t xml:space="preserve"> income tax system</w:t>
      </w:r>
      <w:r w:rsidR="005B611D" w:rsidRPr="000219CE">
        <w:t xml:space="preserve"> is that marginal tax rates are higher than average tax rates</w:t>
      </w:r>
      <w:r w:rsidR="003A2D03" w:rsidRPr="000219CE">
        <w:t>. When combined with means</w:t>
      </w:r>
      <w:r w:rsidR="00E53472">
        <w:noBreakHyphen/>
      </w:r>
      <w:r w:rsidR="003A2D03" w:rsidRPr="000219CE">
        <w:t>tested assistance in the transfer system, this can lead to high effective tax rates, which can reduce the immediate rewards for work</w:t>
      </w:r>
      <w:r w:rsidR="001F27A9" w:rsidRPr="000219CE">
        <w:t xml:space="preserve">. </w:t>
      </w:r>
      <w:r w:rsidR="00C851F3" w:rsidRPr="000219CE">
        <w:t>Effective tax rates</w:t>
      </w:r>
      <w:r w:rsidR="00441263" w:rsidRPr="000219CE">
        <w:t xml:space="preserve"> </w:t>
      </w:r>
      <w:r w:rsidR="003A2D03" w:rsidRPr="000219CE">
        <w:t xml:space="preserve">can </w:t>
      </w:r>
      <w:r w:rsidR="00C851F3" w:rsidRPr="000219CE">
        <w:t xml:space="preserve">affect workforce participation </w:t>
      </w:r>
      <w:r w:rsidR="003A2D03" w:rsidRPr="000219CE">
        <w:t>decisions</w:t>
      </w:r>
      <w:r w:rsidR="00C851F3" w:rsidRPr="000219CE">
        <w:t xml:space="preserve">. </w:t>
      </w:r>
      <w:r w:rsidR="00710A6B" w:rsidRPr="000219CE">
        <w:t>T</w:t>
      </w:r>
      <w:r w:rsidR="001F27A9" w:rsidRPr="000219CE">
        <w:t xml:space="preserve">he current </w:t>
      </w:r>
      <w:proofErr w:type="gramStart"/>
      <w:r w:rsidRPr="000219CE">
        <w:t>individuals</w:t>
      </w:r>
      <w:proofErr w:type="gramEnd"/>
      <w:r w:rsidR="00710A6B" w:rsidRPr="000219CE">
        <w:t xml:space="preserve"> </w:t>
      </w:r>
      <w:r w:rsidR="001F27A9" w:rsidRPr="000219CE">
        <w:t xml:space="preserve">income tax scales will </w:t>
      </w:r>
      <w:r w:rsidR="00B561E9" w:rsidRPr="000219CE">
        <w:t>lower living standards</w:t>
      </w:r>
      <w:r w:rsidR="001F27A9" w:rsidRPr="000219CE">
        <w:t xml:space="preserve"> </w:t>
      </w:r>
      <w:r w:rsidR="00710A6B" w:rsidRPr="000219CE">
        <w:t xml:space="preserve">over time </w:t>
      </w:r>
      <w:r w:rsidR="001F27A9" w:rsidRPr="000219CE">
        <w:t>as more taxpayers fall into higher income tax brackets.</w:t>
      </w:r>
    </w:p>
    <w:p w14:paraId="44C1F561" w14:textId="6C4313FB" w:rsidR="001F27A9" w:rsidRPr="000219CE" w:rsidRDefault="00950DDA" w:rsidP="00E53472">
      <w:r w:rsidRPr="000219CE">
        <w:t>Modelling</w:t>
      </w:r>
      <w:r w:rsidR="00870648" w:rsidRPr="000219CE">
        <w:t xml:space="preserve"> also </w:t>
      </w:r>
      <w:r w:rsidR="0025063F" w:rsidRPr="000219CE">
        <w:t>suggests</w:t>
      </w:r>
      <w:r w:rsidR="00870648" w:rsidRPr="000219CE">
        <w:t xml:space="preserve"> that</w:t>
      </w:r>
      <w:r w:rsidR="00E0706B" w:rsidRPr="000219CE">
        <w:t xml:space="preserve"> </w:t>
      </w:r>
      <w:r w:rsidR="001F27A9" w:rsidRPr="000219CE">
        <w:t>broad</w:t>
      </w:r>
      <w:r w:rsidR="00E53472">
        <w:noBreakHyphen/>
      </w:r>
      <w:r w:rsidR="001F27A9" w:rsidRPr="000219CE">
        <w:t>based land tax</w:t>
      </w:r>
      <w:r w:rsidR="003D67C9" w:rsidRPr="000219CE">
        <w:t>es, such as municipal rates,</w:t>
      </w:r>
      <w:r w:rsidR="001F27A9" w:rsidRPr="000219CE">
        <w:t xml:space="preserve"> </w:t>
      </w:r>
      <w:r w:rsidR="0025063F" w:rsidRPr="000219CE">
        <w:t>ha</w:t>
      </w:r>
      <w:r w:rsidR="003D67C9" w:rsidRPr="000219CE">
        <w:t>ve</w:t>
      </w:r>
      <w:r w:rsidR="0025063F" w:rsidRPr="000219CE">
        <w:t xml:space="preserve"> a </w:t>
      </w:r>
      <w:r w:rsidR="001F27A9" w:rsidRPr="000219CE">
        <w:t xml:space="preserve">low </w:t>
      </w:r>
      <w:r w:rsidR="00F51E37" w:rsidRPr="000219CE">
        <w:t>economic cost</w:t>
      </w:r>
      <w:r w:rsidRPr="000219CE">
        <w:t xml:space="preserve"> (</w:t>
      </w:r>
      <w:r w:rsidR="00431094" w:rsidRPr="000219CE">
        <w:t>C</w:t>
      </w:r>
      <w:r w:rsidRPr="000219CE">
        <w:t xml:space="preserve">hart </w:t>
      </w:r>
      <w:r w:rsidR="00E97F32" w:rsidRPr="000219CE">
        <w:t>2</w:t>
      </w:r>
      <w:r w:rsidR="004F4CD2" w:rsidRPr="000219CE">
        <w:t>.</w:t>
      </w:r>
      <w:r w:rsidR="002F25DE">
        <w:t>9</w:t>
      </w:r>
      <w:r w:rsidRPr="000219CE">
        <w:t>)</w:t>
      </w:r>
      <w:r w:rsidR="001F27A9" w:rsidRPr="000219CE">
        <w:t xml:space="preserve">. </w:t>
      </w:r>
      <w:r w:rsidR="00710A6B" w:rsidRPr="000219CE">
        <w:t>This is because</w:t>
      </w:r>
      <w:r w:rsidR="001F27A9" w:rsidRPr="000219CE">
        <w:t xml:space="preserve"> land is immobile (unlike other capital) and cannot be moved or varied to avoid tax.</w:t>
      </w:r>
      <w:r w:rsidR="000073FF" w:rsidRPr="000219CE">
        <w:t xml:space="preserve"> The model applies this assumption to both domestic and foreign </w:t>
      </w:r>
      <w:r w:rsidR="007A0392" w:rsidRPr="000219CE">
        <w:t>ownership of</w:t>
      </w:r>
      <w:r w:rsidR="000073FF" w:rsidRPr="000219CE">
        <w:t xml:space="preserve"> land. Land taxes paid by foreign</w:t>
      </w:r>
      <w:r w:rsidR="007A0392" w:rsidRPr="000219CE">
        <w:t xml:space="preserve"> and domestic landowners </w:t>
      </w:r>
      <w:r w:rsidR="00F5575B" w:rsidRPr="000219CE">
        <w:t>are</w:t>
      </w:r>
      <w:r w:rsidR="007A0392" w:rsidRPr="000219CE">
        <w:t xml:space="preserve"> only redistributed to the domestic household</w:t>
      </w:r>
      <w:r w:rsidR="00F5575B" w:rsidRPr="000219CE">
        <w:t>s</w:t>
      </w:r>
      <w:r w:rsidR="007A0392" w:rsidRPr="000219CE">
        <w:t>,</w:t>
      </w:r>
      <w:r w:rsidR="000073FF" w:rsidRPr="000219CE">
        <w:t xml:space="preserve"> provid</w:t>
      </w:r>
      <w:r w:rsidR="007A0392" w:rsidRPr="000219CE">
        <w:t>ing</w:t>
      </w:r>
      <w:r w:rsidR="000073FF" w:rsidRPr="000219CE">
        <w:t xml:space="preserve"> a benefit to Australian households</w:t>
      </w:r>
      <w:r w:rsidR="007A0392" w:rsidRPr="000219CE">
        <w:t xml:space="preserve"> and</w:t>
      </w:r>
      <w:r w:rsidR="000073FF" w:rsidRPr="000219CE">
        <w:t xml:space="preserve"> </w:t>
      </w:r>
      <w:r w:rsidR="000073FF" w:rsidRPr="000219CE">
        <w:lastRenderedPageBreak/>
        <w:t>generating a negative marginal excess burden for a broad</w:t>
      </w:r>
      <w:r w:rsidR="00E53472">
        <w:noBreakHyphen/>
      </w:r>
      <w:r w:rsidR="000073FF" w:rsidRPr="000219CE">
        <w:t>based land tax</w:t>
      </w:r>
      <w:r w:rsidR="007A0392" w:rsidRPr="000219CE">
        <w:t xml:space="preserve"> shown in the chart</w:t>
      </w:r>
      <w:r w:rsidR="000073FF" w:rsidRPr="000219CE">
        <w:t>.</w:t>
      </w:r>
      <w:r w:rsidR="00395592" w:rsidRPr="000219CE">
        <w:rPr>
          <w:rStyle w:val="FootnoteReference"/>
        </w:rPr>
        <w:footnoteReference w:id="15"/>
      </w:r>
    </w:p>
    <w:p w14:paraId="7D2CECF4" w14:textId="7ADE8886" w:rsidR="001F27A9" w:rsidRPr="000219CE" w:rsidRDefault="003645F8" w:rsidP="00457D02">
      <w:pPr>
        <w:pStyle w:val="Heading3"/>
      </w:pPr>
      <w:bookmarkStart w:id="157" w:name="_Toc402326856"/>
      <w:bookmarkStart w:id="158" w:name="_Toc402333508"/>
      <w:bookmarkStart w:id="159" w:name="_Toc402340284"/>
      <w:bookmarkStart w:id="160" w:name="_Toc402343379"/>
      <w:bookmarkStart w:id="161" w:name="_Toc402346615"/>
      <w:bookmarkStart w:id="162" w:name="_Toc404346734"/>
      <w:bookmarkStart w:id="163" w:name="_Toc409532964"/>
      <w:r w:rsidRPr="000219CE">
        <w:t>The benefits of</w:t>
      </w:r>
      <w:r w:rsidR="003D30DE" w:rsidRPr="000219CE">
        <w:t xml:space="preserve"> </w:t>
      </w:r>
      <w:r w:rsidRPr="000219CE">
        <w:t>reducing</w:t>
      </w:r>
      <w:r w:rsidR="003D30DE" w:rsidRPr="000219CE">
        <w:t xml:space="preserve"> the </w:t>
      </w:r>
      <w:r w:rsidR="001F27A9" w:rsidRPr="000219CE">
        <w:t>economic costs</w:t>
      </w:r>
      <w:r w:rsidR="003D30DE" w:rsidRPr="000219CE">
        <w:t xml:space="preserve"> of taxation</w:t>
      </w:r>
      <w:r w:rsidRPr="000219CE">
        <w:t xml:space="preserve"> are </w:t>
      </w:r>
      <w:r w:rsidR="000B514C" w:rsidRPr="000219CE">
        <w:t>spread</w:t>
      </w:r>
      <w:r w:rsidRPr="000219CE">
        <w:t xml:space="preserve"> through</w:t>
      </w:r>
      <w:r w:rsidR="00A7602F" w:rsidRPr="000219CE">
        <w:t>out</w:t>
      </w:r>
      <w:r w:rsidRPr="000219CE">
        <w:t xml:space="preserve"> the economy</w:t>
      </w:r>
      <w:r w:rsidR="001D7C8C" w:rsidRPr="000219CE">
        <w:t>,</w:t>
      </w:r>
      <w:r w:rsidRPr="000219CE">
        <w:t xml:space="preserve"> including workers</w:t>
      </w:r>
      <w:bookmarkEnd w:id="157"/>
      <w:bookmarkEnd w:id="158"/>
      <w:bookmarkEnd w:id="159"/>
      <w:bookmarkEnd w:id="160"/>
      <w:bookmarkEnd w:id="161"/>
      <w:bookmarkEnd w:id="162"/>
      <w:bookmarkEnd w:id="163"/>
    </w:p>
    <w:p w14:paraId="3F8B3F5B" w14:textId="7680A24C" w:rsidR="001F27A9" w:rsidRPr="000219CE" w:rsidRDefault="001F27A9" w:rsidP="001F27A9">
      <w:r w:rsidRPr="000219CE">
        <w:t xml:space="preserve">A tax system that relies too heavily on inefficient taxes, uncompetitive tax rates and poorly targeted or ineffective concessions will impose significant economic costs on </w:t>
      </w:r>
      <w:r w:rsidR="000015F3" w:rsidRPr="000219CE">
        <w:t xml:space="preserve">the </w:t>
      </w:r>
      <w:r w:rsidRPr="000219CE">
        <w:t>economy</w:t>
      </w:r>
      <w:r w:rsidR="00814B97" w:rsidRPr="000219CE">
        <w:t>.</w:t>
      </w:r>
      <w:r w:rsidR="004F00EA" w:rsidRPr="000219CE">
        <w:t xml:space="preserve"> </w:t>
      </w:r>
      <w:r w:rsidR="00814B97" w:rsidRPr="000219CE">
        <w:t xml:space="preserve">These costs </w:t>
      </w:r>
      <w:r w:rsidR="00920170" w:rsidRPr="000219CE">
        <w:t>fall</w:t>
      </w:r>
      <w:r w:rsidR="00486BB0" w:rsidRPr="000219CE">
        <w:t xml:space="preserve"> disproportionately on less mobile factors of production, including domestic labour.</w:t>
      </w:r>
    </w:p>
    <w:p w14:paraId="7A948135" w14:textId="78F36BA8" w:rsidR="001F27A9" w:rsidRPr="000219CE" w:rsidRDefault="001F27A9" w:rsidP="001F27A9">
      <w:r w:rsidRPr="000219CE">
        <w:t>An important consideration for design</w:t>
      </w:r>
      <w:r w:rsidR="004F00EA" w:rsidRPr="000219CE">
        <w:t>ing</w:t>
      </w:r>
      <w:r w:rsidRPr="000219CE">
        <w:t xml:space="preserve"> the tax system is who actually bears the economic costs of taxation</w:t>
      </w:r>
      <w:r w:rsidR="00AC472D" w:rsidRPr="000219CE">
        <w:t xml:space="preserve"> — </w:t>
      </w:r>
      <w:r w:rsidRPr="000219CE">
        <w:t xml:space="preserve">commonly referred to as the </w:t>
      </w:r>
      <w:r w:rsidR="00E53472">
        <w:t>‘</w:t>
      </w:r>
      <w:r w:rsidRPr="000219CE">
        <w:t>incidence</w:t>
      </w:r>
      <w:r w:rsidR="00E53472">
        <w:t>’</w:t>
      </w:r>
      <w:r w:rsidRPr="000219CE">
        <w:t xml:space="preserve"> of a tax. The legal</w:t>
      </w:r>
      <w:r w:rsidR="00C26ECF" w:rsidRPr="000219CE">
        <w:t xml:space="preserve"> incidence</w:t>
      </w:r>
      <w:r w:rsidRPr="000219CE">
        <w:t xml:space="preserve"> and economic incidence of a tax </w:t>
      </w:r>
      <w:r w:rsidR="00C26ECF" w:rsidRPr="000219CE">
        <w:t xml:space="preserve">are </w:t>
      </w:r>
      <w:r w:rsidRPr="000219CE">
        <w:t xml:space="preserve">often not the same, and the distribution of the economic incidence can have a significant impact on the economy. </w:t>
      </w:r>
    </w:p>
    <w:p w14:paraId="2E2DD4D4" w14:textId="426C8759" w:rsidR="001F27A9" w:rsidRPr="000219CE" w:rsidRDefault="001F27A9" w:rsidP="001F27A9">
      <w:r w:rsidRPr="000219CE">
        <w:t xml:space="preserve">Many taxes are legally required to be paid by </w:t>
      </w:r>
      <w:r w:rsidR="009D6771" w:rsidRPr="000219CE">
        <w:t xml:space="preserve">companies </w:t>
      </w:r>
      <w:r w:rsidRPr="000219CE">
        <w:t>and other entities</w:t>
      </w:r>
      <w:r w:rsidR="00866CB2">
        <w:t>,</w:t>
      </w:r>
      <w:r w:rsidRPr="000219CE">
        <w:t xml:space="preserve"> such as superannuation funds. However, the final economic incidence of these taxes often falls elsewhere. This occurs when the entity legally responsible for paying a tax can pass the cost of th</w:t>
      </w:r>
      <w:r w:rsidR="004F00EA" w:rsidRPr="000219CE">
        <w:t>at</w:t>
      </w:r>
      <w:r w:rsidRPr="000219CE">
        <w:t xml:space="preserve"> tax to individuals as workers, consumers and investors</w:t>
      </w:r>
      <w:r w:rsidR="004F00EA" w:rsidRPr="000219CE">
        <w:t>, f</w:t>
      </w:r>
      <w:r w:rsidRPr="000219CE">
        <w:t>or example</w:t>
      </w:r>
      <w:r w:rsidR="00746555" w:rsidRPr="000219CE">
        <w:t>,</w:t>
      </w:r>
      <w:r w:rsidRPr="000219CE">
        <w:t xml:space="preserve"> by charging higher prices for goods or services or offering lower wages to employees.</w:t>
      </w:r>
    </w:p>
    <w:p w14:paraId="2F4A852F" w14:textId="07EBEE13" w:rsidR="001F27A9" w:rsidRPr="000219CE" w:rsidRDefault="001F27A9" w:rsidP="001F27A9">
      <w:r w:rsidRPr="000219CE">
        <w:t>Recent research by the Treasury</w:t>
      </w:r>
      <w:r w:rsidRPr="000219CE">
        <w:rPr>
          <w:rStyle w:val="FootnoteReference"/>
          <w:sz w:val="18"/>
        </w:rPr>
        <w:footnoteReference w:id="16"/>
      </w:r>
      <w:r w:rsidRPr="000219CE">
        <w:t xml:space="preserve"> indicates that</w:t>
      </w:r>
      <w:r w:rsidR="00A03BFA" w:rsidRPr="000219CE">
        <w:t>,</w:t>
      </w:r>
      <w:r w:rsidRPr="000219CE">
        <w:t xml:space="preserve"> </w:t>
      </w:r>
      <w:r w:rsidR="00A03BFA" w:rsidRPr="000219CE">
        <w:t>in the long</w:t>
      </w:r>
      <w:r w:rsidR="00487C0F" w:rsidRPr="000219CE">
        <w:t xml:space="preserve"> </w:t>
      </w:r>
      <w:r w:rsidR="00A03BFA" w:rsidRPr="000219CE">
        <w:t xml:space="preserve">run, </w:t>
      </w:r>
      <w:r w:rsidRPr="000219CE">
        <w:t xml:space="preserve">much of the burden or incidence of company tax falls on Australian workers. This is because, over time, the amount of capital </w:t>
      </w:r>
      <w:r w:rsidR="00B561E9" w:rsidRPr="000219CE">
        <w:t>investment in</w:t>
      </w:r>
      <w:r w:rsidRPr="000219CE">
        <w:t xml:space="preserve"> Australia (for example, the construction of buildings and purchase </w:t>
      </w:r>
      <w:r w:rsidR="00EF4B82" w:rsidRPr="000219CE">
        <w:t xml:space="preserve">of </w:t>
      </w:r>
      <w:r w:rsidRPr="000219CE">
        <w:t>equipment for production) is affected by the company tax rate. Lower amounts of capital investment in the Australian economy will reduce the output or productivity of labour and, in</w:t>
      </w:r>
      <w:r w:rsidR="00667301">
        <w:t> </w:t>
      </w:r>
      <w:r w:rsidRPr="000219CE">
        <w:t>turn, reduce the real wages of workers.</w:t>
      </w:r>
    </w:p>
    <w:p w14:paraId="752FB31E" w14:textId="4168275A" w:rsidR="00212E36" w:rsidRPr="000219CE" w:rsidRDefault="00A96F1E" w:rsidP="00212E36">
      <w:r w:rsidRPr="000219CE">
        <w:t>Transference</w:t>
      </w:r>
      <w:r w:rsidR="001F27A9" w:rsidRPr="000219CE">
        <w:t xml:space="preserve"> of the cost of a tax through the economy forms the basis of the </w:t>
      </w:r>
      <w:r w:rsidR="00E53472">
        <w:t>‘</w:t>
      </w:r>
      <w:r w:rsidR="00066CDE" w:rsidRPr="000219CE">
        <w:t xml:space="preserve">marginal </w:t>
      </w:r>
      <w:r w:rsidR="001F27A9" w:rsidRPr="000219CE">
        <w:t>excess burden</w:t>
      </w:r>
      <w:r w:rsidR="00E53472">
        <w:t>’</w:t>
      </w:r>
      <w:r w:rsidR="001F27A9" w:rsidRPr="000219CE">
        <w:t xml:space="preserve"> measure of the economic cost of taxes on the welfare of Australian households (</w:t>
      </w:r>
      <w:r w:rsidR="00E2563F" w:rsidRPr="000219CE">
        <w:t>Chart 2.</w:t>
      </w:r>
      <w:r w:rsidR="002F25DE">
        <w:t>9</w:t>
      </w:r>
      <w:r w:rsidR="001F27A9" w:rsidRPr="000219CE">
        <w:t>).</w:t>
      </w:r>
    </w:p>
    <w:p w14:paraId="4F704A29" w14:textId="36A06414" w:rsidR="00212E36" w:rsidRPr="000219CE" w:rsidRDefault="00212E36" w:rsidP="00212E36">
      <w:r w:rsidRPr="000219CE">
        <w:t>The high economic cost of some taxes</w:t>
      </w:r>
      <w:r w:rsidR="00814B97" w:rsidRPr="000219CE">
        <w:t>,</w:t>
      </w:r>
      <w:r w:rsidRPr="000219CE">
        <w:t xml:space="preserve"> combined with the distribution of those costs through the economy</w:t>
      </w:r>
      <w:r w:rsidR="00814B97" w:rsidRPr="000219CE">
        <w:t>,</w:t>
      </w:r>
      <w:r w:rsidRPr="000219CE">
        <w:t xml:space="preserve"> has </w:t>
      </w:r>
      <w:r w:rsidR="004F00EA" w:rsidRPr="000219CE">
        <w:t xml:space="preserve">prompted </w:t>
      </w:r>
      <w:r w:rsidRPr="000219CE">
        <w:t xml:space="preserve">a policy response internationally. </w:t>
      </w:r>
      <w:r w:rsidR="00CD7B0E" w:rsidRPr="000219CE">
        <w:t>M</w:t>
      </w:r>
      <w:r w:rsidRPr="000219CE">
        <w:t>any countries</w:t>
      </w:r>
      <w:r w:rsidR="00A03BFA" w:rsidRPr="000219CE">
        <w:t>, including the United Kingdom and Canada,</w:t>
      </w:r>
      <w:r w:rsidRPr="000219CE">
        <w:t xml:space="preserve"> have reduced their company tax rate in recent years</w:t>
      </w:r>
      <w:r w:rsidR="00A03BFA" w:rsidRPr="000219CE">
        <w:t xml:space="preserve"> and strengthened their integrity rules </w:t>
      </w:r>
      <w:r w:rsidR="003D35D6" w:rsidRPr="000219CE">
        <w:t>to counter</w:t>
      </w:r>
      <w:r w:rsidR="00A03BFA" w:rsidRPr="000219CE">
        <w:t xml:space="preserve"> multinational tax planning</w:t>
      </w:r>
      <w:r w:rsidR="00234F32" w:rsidRPr="000219CE">
        <w:t xml:space="preserve"> </w:t>
      </w:r>
      <w:r w:rsidR="00E97F32" w:rsidRPr="000219CE">
        <w:t>(</w:t>
      </w:r>
      <w:r w:rsidR="006949FF" w:rsidRPr="000219CE">
        <w:t>C</w:t>
      </w:r>
      <w:r w:rsidR="00E97F32" w:rsidRPr="000219CE">
        <w:t>hart 2</w:t>
      </w:r>
      <w:r w:rsidR="004B61A3" w:rsidRPr="000219CE">
        <w:t>.</w:t>
      </w:r>
      <w:r w:rsidR="002F25DE">
        <w:t>10</w:t>
      </w:r>
      <w:r w:rsidR="004B61A3" w:rsidRPr="000219CE">
        <w:t>)</w:t>
      </w:r>
      <w:r w:rsidRPr="000219CE">
        <w:t xml:space="preserve">. Consequently, </w:t>
      </w:r>
      <w:r w:rsidR="00A03BFA" w:rsidRPr="000219CE">
        <w:t xml:space="preserve">while </w:t>
      </w:r>
      <w:r w:rsidRPr="000219CE">
        <w:t>Australia</w:t>
      </w:r>
      <w:r w:rsidR="00E53472">
        <w:t>’</w:t>
      </w:r>
      <w:r w:rsidRPr="000219CE">
        <w:t>s</w:t>
      </w:r>
      <w:r w:rsidR="00A03BFA" w:rsidRPr="000219CE">
        <w:t xml:space="preserve"> integrity rules are strong, our</w:t>
      </w:r>
      <w:r w:rsidRPr="000219CE">
        <w:t xml:space="preserve"> company tax rate of 30 per</w:t>
      </w:r>
      <w:r w:rsidR="00FE0F65" w:rsidRPr="000219CE">
        <w:t> </w:t>
      </w:r>
      <w:r w:rsidRPr="000219CE">
        <w:t>cent is now significantly above the average rate of other countries, particularly our Asian neighbours</w:t>
      </w:r>
      <w:r w:rsidR="00866CB2">
        <w:t>,</w:t>
      </w:r>
      <w:r w:rsidRPr="000219CE" w:rsidDel="0016382D">
        <w:t xml:space="preserve"> with whom we compete for foreign investment</w:t>
      </w:r>
      <w:r w:rsidRPr="000219CE">
        <w:t xml:space="preserve">. </w:t>
      </w:r>
    </w:p>
    <w:p w14:paraId="3F94F233" w14:textId="68C39430" w:rsidR="00212E36" w:rsidRDefault="007B4589" w:rsidP="00E9749C">
      <w:pPr>
        <w:pStyle w:val="ChartMainHeading"/>
      </w:pPr>
      <w:proofErr w:type="gramStart"/>
      <w:r w:rsidRPr="000219CE">
        <w:lastRenderedPageBreak/>
        <w:t xml:space="preserve">Chart </w:t>
      </w:r>
      <w:fldSimple w:instr=" STYLEREF 1 \s ">
        <w:r w:rsidR="0068169D">
          <w:rPr>
            <w:noProof/>
          </w:rPr>
          <w:t>2</w:t>
        </w:r>
      </w:fldSimple>
      <w:r w:rsidRPr="000219CE">
        <w:t>.</w:t>
      </w:r>
      <w:proofErr w:type="gramEnd"/>
      <w:r w:rsidR="0068169D">
        <w:fldChar w:fldCharType="begin"/>
      </w:r>
      <w:r w:rsidR="0068169D">
        <w:instrText xml:space="preserve"> SEQ Chart \* ARABIC \s 1 </w:instrText>
      </w:r>
      <w:r w:rsidR="0068169D">
        <w:fldChar w:fldCharType="separate"/>
      </w:r>
      <w:r w:rsidR="0068169D">
        <w:rPr>
          <w:noProof/>
        </w:rPr>
        <w:t>10</w:t>
      </w:r>
      <w:r w:rsidR="0068169D">
        <w:rPr>
          <w:noProof/>
        </w:rPr>
        <w:fldChar w:fldCharType="end"/>
      </w:r>
      <w:r w:rsidRPr="000219CE">
        <w:t xml:space="preserve"> </w:t>
      </w:r>
      <w:r w:rsidR="00212E36" w:rsidRPr="000219CE">
        <w:t xml:space="preserve">Trends in corporate </w:t>
      </w:r>
      <w:r w:rsidR="0059319A" w:rsidRPr="000219CE">
        <w:t>tax rates in</w:t>
      </w:r>
      <w:r w:rsidR="00212E36" w:rsidRPr="000219CE">
        <w:t xml:space="preserve"> selected </w:t>
      </w:r>
      <w:r w:rsidR="0059319A" w:rsidRPr="000219CE">
        <w:t>economies</w:t>
      </w:r>
    </w:p>
    <w:p w14:paraId="3D2C54F2" w14:textId="606D0066" w:rsidR="00E9749C" w:rsidRPr="00E9749C" w:rsidRDefault="00A42A0A" w:rsidP="003337BF">
      <w:pPr>
        <w:pStyle w:val="ChartGraphic"/>
      </w:pPr>
      <w:r>
        <w:rPr>
          <w:noProof/>
        </w:rPr>
        <w:drawing>
          <wp:inline distT="0" distB="0" distL="0" distR="0" wp14:anchorId="50B5230B" wp14:editId="67BD8BB0">
            <wp:extent cx="5580000" cy="3032400"/>
            <wp:effectExtent l="0" t="0" r="1905" b="0"/>
            <wp:docPr id="1" name="Chart 1" descr="This chart shows the trend in corporate tax rates in Australia, Canada, Singapore, the United Kingdom, the United States of America, China and the OECD, from 2000 -2014. It shows that the corporate tax rate in Australia and the United States has remained the same since 2001, while the corporate tax rate in the United Kingdom, Canada, Singapore, China and the OECD has fallen over this period.&#10;" title="Chart 2.10 Trends in corporate income tax rates, selected count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01C7088" w14:textId="32444812" w:rsidR="00212E36" w:rsidRPr="000219CE" w:rsidRDefault="00667301" w:rsidP="000D0ADB">
      <w:pPr>
        <w:pStyle w:val="ChartandTableNote"/>
        <w:ind w:left="426"/>
      </w:pPr>
      <w:r>
        <w:t>Source:</w:t>
      </w:r>
      <w:r w:rsidR="00E62208" w:rsidRPr="000219CE">
        <w:t xml:space="preserve"> </w:t>
      </w:r>
      <w:r w:rsidR="001856B6" w:rsidRPr="000219CE">
        <w:t xml:space="preserve">OECD </w:t>
      </w:r>
      <w:r w:rsidR="005A6550" w:rsidRPr="000219CE">
        <w:t xml:space="preserve">2014, </w:t>
      </w:r>
      <w:r w:rsidR="001856B6" w:rsidRPr="000219CE">
        <w:rPr>
          <w:i/>
        </w:rPr>
        <w:t xml:space="preserve">Tax Database </w:t>
      </w:r>
      <w:r w:rsidR="00B0323B" w:rsidRPr="000219CE">
        <w:rPr>
          <w:i/>
        </w:rPr>
        <w:t>—</w:t>
      </w:r>
      <w:r w:rsidR="001856B6" w:rsidRPr="000219CE">
        <w:rPr>
          <w:i/>
        </w:rPr>
        <w:t xml:space="preserve"> Taxation of Corporate and Capital Income</w:t>
      </w:r>
      <w:r w:rsidR="001856B6" w:rsidRPr="000219CE">
        <w:t xml:space="preserve">, </w:t>
      </w:r>
      <w:r w:rsidR="000055B4" w:rsidRPr="000219CE">
        <w:t xml:space="preserve">OECD, Paris, </w:t>
      </w:r>
      <w:r w:rsidR="001856B6" w:rsidRPr="000219CE">
        <w:t>viewed 5</w:t>
      </w:r>
      <w:r w:rsidR="008149BD" w:rsidRPr="000219CE">
        <w:t> </w:t>
      </w:r>
      <w:r w:rsidR="001856B6" w:rsidRPr="000219CE">
        <w:rPr>
          <w:color w:val="auto"/>
        </w:rPr>
        <w:t>December 2014</w:t>
      </w:r>
      <w:r w:rsidR="004B61A3" w:rsidRPr="000219CE">
        <w:t>:</w:t>
      </w:r>
      <w:r w:rsidR="001856B6" w:rsidRPr="000219CE">
        <w:t xml:space="preserve"> </w:t>
      </w:r>
      <w:hyperlink r:id="rId47" w:history="1">
        <w:r w:rsidR="000D0ADB" w:rsidRPr="003D7ABD">
          <w:rPr>
            <w:rStyle w:val="Hyperlink"/>
            <w:color w:val="31A7D4" w:themeColor="accent1"/>
          </w:rPr>
          <w:t>www.oecd.org/ctp/tax</w:t>
        </w:r>
        <w:r w:rsidR="00E53472">
          <w:rPr>
            <w:rStyle w:val="Hyperlink"/>
            <w:color w:val="31A7D4" w:themeColor="accent1"/>
          </w:rPr>
          <w:noBreakHyphen/>
        </w:r>
        <w:r w:rsidR="000D0ADB" w:rsidRPr="003D7ABD">
          <w:rPr>
            <w:rStyle w:val="Hyperlink"/>
            <w:color w:val="31A7D4" w:themeColor="accent1"/>
          </w:rPr>
          <w:t>policy/Table%20II.1</w:t>
        </w:r>
        <w:r w:rsidR="00E53472">
          <w:rPr>
            <w:rStyle w:val="Hyperlink"/>
            <w:color w:val="31A7D4" w:themeColor="accent1"/>
          </w:rPr>
          <w:noBreakHyphen/>
        </w:r>
        <w:r w:rsidR="000D0ADB" w:rsidRPr="003D7ABD">
          <w:rPr>
            <w:rStyle w:val="Hyperlink"/>
            <w:color w:val="31A7D4" w:themeColor="accent1"/>
          </w:rPr>
          <w:t>May</w:t>
        </w:r>
        <w:r w:rsidR="00E53472">
          <w:rPr>
            <w:rStyle w:val="Hyperlink"/>
            <w:color w:val="31A7D4" w:themeColor="accent1"/>
          </w:rPr>
          <w:noBreakHyphen/>
        </w:r>
        <w:r w:rsidR="000D0ADB" w:rsidRPr="003D7ABD">
          <w:rPr>
            <w:rStyle w:val="Hyperlink"/>
            <w:color w:val="31A7D4" w:themeColor="accent1"/>
          </w:rPr>
          <w:t>2014.xlsx</w:t>
        </w:r>
      </w:hyperlink>
      <w:r w:rsidR="005A6550" w:rsidRPr="000219CE">
        <w:rPr>
          <w:color w:val="auto"/>
        </w:rPr>
        <w:t xml:space="preserve">; </w:t>
      </w:r>
      <w:r w:rsidR="001856B6" w:rsidRPr="000219CE">
        <w:rPr>
          <w:color w:val="auto"/>
        </w:rPr>
        <w:t xml:space="preserve">KPMG 2014, </w:t>
      </w:r>
      <w:r w:rsidR="001856B6" w:rsidRPr="000219CE">
        <w:rPr>
          <w:i/>
          <w:color w:val="auto"/>
        </w:rPr>
        <w:t>Corporate tax rates table</w:t>
      </w:r>
      <w:r w:rsidR="001856B6" w:rsidRPr="000219CE">
        <w:rPr>
          <w:color w:val="auto"/>
        </w:rPr>
        <w:t>, viewed 5 December 2014</w:t>
      </w:r>
      <w:r w:rsidR="004B61A3" w:rsidRPr="000219CE">
        <w:rPr>
          <w:color w:val="auto"/>
        </w:rPr>
        <w:t>:</w:t>
      </w:r>
      <w:r w:rsidR="001856B6" w:rsidRPr="000219CE">
        <w:rPr>
          <w:color w:val="auto"/>
        </w:rPr>
        <w:t xml:space="preserve"> </w:t>
      </w:r>
      <w:hyperlink r:id="rId48" w:history="1">
        <w:r w:rsidR="000D0ADB" w:rsidRPr="003D7ABD">
          <w:rPr>
            <w:rStyle w:val="Hyperlink"/>
            <w:color w:val="31A7D4" w:themeColor="accent1"/>
          </w:rPr>
          <w:t>www.kpmg.com/global/en/services/tax/tax</w:t>
        </w:r>
        <w:r w:rsidR="00E53472">
          <w:rPr>
            <w:rStyle w:val="Hyperlink"/>
            <w:color w:val="31A7D4" w:themeColor="accent1"/>
          </w:rPr>
          <w:noBreakHyphen/>
        </w:r>
        <w:r w:rsidR="000D0ADB" w:rsidRPr="003D7ABD">
          <w:rPr>
            <w:rStyle w:val="Hyperlink"/>
            <w:color w:val="31A7D4" w:themeColor="accent1"/>
          </w:rPr>
          <w:t>tools</w:t>
        </w:r>
        <w:r w:rsidR="00E53472">
          <w:rPr>
            <w:rStyle w:val="Hyperlink"/>
            <w:color w:val="31A7D4" w:themeColor="accent1"/>
          </w:rPr>
          <w:noBreakHyphen/>
        </w:r>
        <w:r w:rsidR="000D0ADB" w:rsidRPr="003D7ABD">
          <w:rPr>
            <w:rStyle w:val="Hyperlink"/>
            <w:color w:val="31A7D4" w:themeColor="accent1"/>
          </w:rPr>
          <w:t>and</w:t>
        </w:r>
        <w:r w:rsidR="00E53472">
          <w:rPr>
            <w:rStyle w:val="Hyperlink"/>
            <w:color w:val="31A7D4" w:themeColor="accent1"/>
          </w:rPr>
          <w:noBreakHyphen/>
        </w:r>
        <w:r w:rsidR="000D0ADB" w:rsidRPr="003D7ABD">
          <w:rPr>
            <w:rStyle w:val="Hyperlink"/>
            <w:color w:val="31A7D4" w:themeColor="accent1"/>
          </w:rPr>
          <w:t>resources/pages/corporate</w:t>
        </w:r>
        <w:r w:rsidR="00E53472">
          <w:rPr>
            <w:rStyle w:val="Hyperlink"/>
            <w:color w:val="31A7D4" w:themeColor="accent1"/>
          </w:rPr>
          <w:noBreakHyphen/>
        </w:r>
        <w:r w:rsidR="000D0ADB" w:rsidRPr="003D7ABD">
          <w:rPr>
            <w:rStyle w:val="Hyperlink"/>
            <w:color w:val="31A7D4" w:themeColor="accent1"/>
          </w:rPr>
          <w:t>tax</w:t>
        </w:r>
        <w:r w:rsidR="00E53472">
          <w:rPr>
            <w:rStyle w:val="Hyperlink"/>
            <w:color w:val="31A7D4" w:themeColor="accent1"/>
          </w:rPr>
          <w:noBreakHyphen/>
        </w:r>
        <w:r w:rsidR="000D0ADB" w:rsidRPr="003D7ABD">
          <w:rPr>
            <w:rStyle w:val="Hyperlink"/>
            <w:color w:val="31A7D4" w:themeColor="accent1"/>
          </w:rPr>
          <w:t>rates</w:t>
        </w:r>
        <w:r w:rsidR="00E53472">
          <w:rPr>
            <w:rStyle w:val="Hyperlink"/>
            <w:color w:val="31A7D4" w:themeColor="accent1"/>
          </w:rPr>
          <w:noBreakHyphen/>
        </w:r>
        <w:r w:rsidR="000D0ADB" w:rsidRPr="003D7ABD">
          <w:rPr>
            <w:rStyle w:val="Hyperlink"/>
            <w:color w:val="31A7D4" w:themeColor="accent1"/>
          </w:rPr>
          <w:t>table.aspx</w:t>
        </w:r>
      </w:hyperlink>
      <w:r w:rsidR="005A6550" w:rsidRPr="000219CE">
        <w:t xml:space="preserve">; and </w:t>
      </w:r>
      <w:r w:rsidR="001856B6" w:rsidRPr="000219CE">
        <w:t xml:space="preserve">KPMG 2007, </w:t>
      </w:r>
      <w:r w:rsidR="001856B6" w:rsidRPr="000219CE">
        <w:rPr>
          <w:i/>
        </w:rPr>
        <w:t>Hong Kong Tax Competiveness Series: Corporate Tax Rates</w:t>
      </w:r>
      <w:r w:rsidR="001856B6" w:rsidRPr="000219CE">
        <w:t>, viewed 5 December 2014</w:t>
      </w:r>
      <w:r w:rsidR="004B61A3" w:rsidRPr="000219CE">
        <w:t>:</w:t>
      </w:r>
      <w:r w:rsidR="001856B6" w:rsidRPr="000219CE">
        <w:t xml:space="preserve"> </w:t>
      </w:r>
      <w:hyperlink r:id="rId49" w:history="1">
        <w:r w:rsidR="000D0ADB" w:rsidRPr="003D7ABD">
          <w:rPr>
            <w:rStyle w:val="Hyperlink"/>
            <w:color w:val="31A7D4" w:themeColor="accent1"/>
          </w:rPr>
          <w:t>www.kpmg.com/CN/en/IssuesAndInsights/ArticlesPublications/Documents/corp</w:t>
        </w:r>
        <w:r w:rsidR="00E53472">
          <w:rPr>
            <w:rStyle w:val="Hyperlink"/>
            <w:color w:val="31A7D4" w:themeColor="accent1"/>
          </w:rPr>
          <w:noBreakHyphen/>
        </w:r>
        <w:r w:rsidR="000D0ADB" w:rsidRPr="003D7ABD">
          <w:rPr>
            <w:rStyle w:val="Hyperlink"/>
            <w:color w:val="31A7D4" w:themeColor="accent1"/>
          </w:rPr>
          <w:t>tax</w:t>
        </w:r>
        <w:r w:rsidR="00E53472">
          <w:rPr>
            <w:rStyle w:val="Hyperlink"/>
            <w:color w:val="31A7D4" w:themeColor="accent1"/>
          </w:rPr>
          <w:noBreakHyphen/>
        </w:r>
        <w:r w:rsidR="000D0ADB" w:rsidRPr="003D7ABD">
          <w:rPr>
            <w:rStyle w:val="Hyperlink"/>
            <w:color w:val="31A7D4" w:themeColor="accent1"/>
          </w:rPr>
          <w:t>rate</w:t>
        </w:r>
        <w:r w:rsidR="00E53472">
          <w:rPr>
            <w:rStyle w:val="Hyperlink"/>
            <w:color w:val="31A7D4" w:themeColor="accent1"/>
          </w:rPr>
          <w:noBreakHyphen/>
        </w:r>
        <w:r w:rsidR="000D0ADB" w:rsidRPr="003D7ABD">
          <w:rPr>
            <w:rStyle w:val="Hyperlink"/>
            <w:color w:val="31A7D4" w:themeColor="accent1"/>
          </w:rPr>
          <w:t>0707.pdf</w:t>
        </w:r>
      </w:hyperlink>
      <w:r w:rsidR="0059319A" w:rsidRPr="000219CE">
        <w:t xml:space="preserve">; KPMG 2006, </w:t>
      </w:r>
      <w:r w:rsidR="0059319A" w:rsidRPr="000219CE">
        <w:rPr>
          <w:i/>
        </w:rPr>
        <w:t>KPMG</w:t>
      </w:r>
      <w:r w:rsidR="00E53472">
        <w:rPr>
          <w:i/>
        </w:rPr>
        <w:t>’</w:t>
      </w:r>
      <w:r w:rsidR="0059319A" w:rsidRPr="000219CE">
        <w:rPr>
          <w:i/>
        </w:rPr>
        <w:t>s Corporate Tax Rate Survey, An international analysis of corporate tax rates from 1993 to 2006</w:t>
      </w:r>
      <w:r w:rsidR="0059319A" w:rsidRPr="000219CE">
        <w:t xml:space="preserve">, viewed on 21 January 2015: </w:t>
      </w:r>
      <w:hyperlink r:id="rId50" w:history="1">
        <w:r w:rsidR="000D0ADB" w:rsidRPr="003D7ABD">
          <w:rPr>
            <w:rStyle w:val="Hyperlink"/>
            <w:color w:val="31A7D4" w:themeColor="accent1"/>
          </w:rPr>
          <w:t>www.lib.uwo.ca/files/business/KPMGCorporateTaxRateSurvey.pdf</w:t>
        </w:r>
      </w:hyperlink>
      <w:r w:rsidR="0059319A" w:rsidRPr="000219CE">
        <w:t>.</w:t>
      </w:r>
    </w:p>
    <w:p w14:paraId="39D9A38A" w14:textId="77777777" w:rsidR="00234F32" w:rsidRPr="000219CE" w:rsidRDefault="00234F32" w:rsidP="00667301">
      <w:pPr>
        <w:pStyle w:val="Singleparagraph0"/>
      </w:pPr>
    </w:p>
    <w:p w14:paraId="7178B9D7" w14:textId="77777777" w:rsidR="000D0ADB" w:rsidRPr="000219CE" w:rsidRDefault="000D0ADB" w:rsidP="00667301"/>
    <w:p w14:paraId="340BA89B" w14:textId="25C9A068" w:rsidR="001F27A9" w:rsidRPr="000219CE" w:rsidRDefault="003D30DE" w:rsidP="00157DC2">
      <w:pPr>
        <w:pStyle w:val="Heading2"/>
      </w:pPr>
      <w:bookmarkStart w:id="164" w:name="_Toc402326857"/>
      <w:bookmarkStart w:id="165" w:name="_Toc402333509"/>
      <w:bookmarkStart w:id="166" w:name="_Toc402340285"/>
      <w:bookmarkStart w:id="167" w:name="_Toc402343380"/>
      <w:bookmarkStart w:id="168" w:name="_Toc402346616"/>
      <w:bookmarkStart w:id="169" w:name="_Toc404346735"/>
      <w:bookmarkStart w:id="170" w:name="_Toc409532965"/>
      <w:r w:rsidRPr="000219CE">
        <w:t>There are opportunities to reduce</w:t>
      </w:r>
      <w:r w:rsidR="003645F8" w:rsidRPr="000219CE">
        <w:t xml:space="preserve"> the high</w:t>
      </w:r>
      <w:r w:rsidRPr="000219CE">
        <w:t xml:space="preserve"> </w:t>
      </w:r>
      <w:r w:rsidR="001F27A9" w:rsidRPr="000219CE">
        <w:t xml:space="preserve">costs </w:t>
      </w:r>
      <w:r w:rsidR="00122DC2" w:rsidRPr="000219CE">
        <w:t xml:space="preserve">of taxation </w:t>
      </w:r>
      <w:r w:rsidR="001F27A9" w:rsidRPr="000219CE">
        <w:t>due to complexity</w:t>
      </w:r>
      <w:bookmarkEnd w:id="164"/>
      <w:bookmarkEnd w:id="165"/>
      <w:bookmarkEnd w:id="166"/>
      <w:bookmarkEnd w:id="167"/>
      <w:bookmarkEnd w:id="168"/>
      <w:bookmarkEnd w:id="169"/>
      <w:bookmarkEnd w:id="170"/>
    </w:p>
    <w:p w14:paraId="3E500F69" w14:textId="1E680B31" w:rsidR="001F27A9" w:rsidRPr="000219CE" w:rsidRDefault="001F27A9" w:rsidP="001F27A9">
      <w:r w:rsidRPr="000219CE">
        <w:t>A certain level of complexity is an inevitable part of any nation</w:t>
      </w:r>
      <w:r w:rsidR="00E53472">
        <w:t>’</w:t>
      </w:r>
      <w:r w:rsidRPr="000219CE">
        <w:t xml:space="preserve">s tax system, reflecting the inherent complexity of the modern economy and society. </w:t>
      </w:r>
      <w:r w:rsidR="00C26ECF" w:rsidRPr="000219CE">
        <w:t>The complexity of</w:t>
      </w:r>
      <w:r w:rsidRPr="000219CE">
        <w:t xml:space="preserve"> Australia</w:t>
      </w:r>
      <w:r w:rsidR="00E53472">
        <w:t>’</w:t>
      </w:r>
      <w:r w:rsidR="00C26ECF" w:rsidRPr="000219CE">
        <w:t>s tax system</w:t>
      </w:r>
      <w:r w:rsidRPr="000219CE">
        <w:t xml:space="preserve"> continu</w:t>
      </w:r>
      <w:r w:rsidR="00DF29E3" w:rsidRPr="000219CE">
        <w:t>es</w:t>
      </w:r>
      <w:r w:rsidRPr="000219CE">
        <w:t xml:space="preserve"> to increase and is becoming a problem in its own right.</w:t>
      </w:r>
    </w:p>
    <w:p w14:paraId="26F0FBA0" w14:textId="7F5D02E2" w:rsidR="003645F8" w:rsidRPr="000219CE" w:rsidRDefault="003645F8" w:rsidP="003645F8">
      <w:r w:rsidRPr="000219CE">
        <w:t>Complexity in the design of the tax system is a major driver of costs</w:t>
      </w:r>
      <w:r w:rsidR="000B514C" w:rsidRPr="000219CE">
        <w:t xml:space="preserve"> to individuals and entities</w:t>
      </w:r>
      <w:r w:rsidRPr="000219CE">
        <w:t xml:space="preserve">, particularly compliance costs as taxpayers interact with the system and </w:t>
      </w:r>
      <w:r w:rsidR="00DF29E3" w:rsidRPr="000219CE">
        <w:t xml:space="preserve">administration </w:t>
      </w:r>
      <w:r w:rsidRPr="000219CE">
        <w:t>costs. Complexity also increases uncertainty and risk for taxpayers and can undermine trust in the system</w:t>
      </w:r>
      <w:r w:rsidR="00AC472D" w:rsidRPr="000219CE">
        <w:t>.</w:t>
      </w:r>
    </w:p>
    <w:p w14:paraId="1AED9F1E" w14:textId="51BCA159" w:rsidR="004561D5" w:rsidRPr="000219CE" w:rsidRDefault="004561D5" w:rsidP="004561D5">
      <w:r w:rsidRPr="000219CE">
        <w:t>While it is broadly agreed that Australia</w:t>
      </w:r>
      <w:r w:rsidR="00E53472">
        <w:t>’</w:t>
      </w:r>
      <w:r w:rsidRPr="000219CE">
        <w:t xml:space="preserve">s tax system is complex, there is no single measure of complexity. </w:t>
      </w:r>
      <w:r w:rsidR="001F56A9" w:rsidRPr="000219CE">
        <w:t>As such</w:t>
      </w:r>
      <w:r w:rsidRPr="000219CE">
        <w:t xml:space="preserve">, </w:t>
      </w:r>
      <w:r w:rsidR="00CD7B0E" w:rsidRPr="000219CE">
        <w:t xml:space="preserve">administration </w:t>
      </w:r>
      <w:r w:rsidR="00665CDD" w:rsidRPr="000219CE">
        <w:t xml:space="preserve">and </w:t>
      </w:r>
      <w:r w:rsidR="00CD7B0E" w:rsidRPr="000219CE">
        <w:t xml:space="preserve">compliance </w:t>
      </w:r>
      <w:r w:rsidRPr="000219CE">
        <w:t xml:space="preserve">cost estimates are often used as a proxy. </w:t>
      </w:r>
      <w:r w:rsidR="00665CDD" w:rsidRPr="000219CE">
        <w:t xml:space="preserve">The costs of administering the tax system at the Commonwealth level (including the GST) </w:t>
      </w:r>
      <w:r w:rsidR="00CD7B0E" w:rsidRPr="000219CE">
        <w:t xml:space="preserve">were </w:t>
      </w:r>
      <w:r w:rsidR="00665CDD" w:rsidRPr="000219CE">
        <w:t>around $3.6 billion in 2013</w:t>
      </w:r>
      <w:r w:rsidR="00E53472">
        <w:noBreakHyphen/>
      </w:r>
      <w:r w:rsidR="00665CDD" w:rsidRPr="000219CE">
        <w:t>14</w:t>
      </w:r>
      <w:r w:rsidR="007845DE" w:rsidRPr="000219CE">
        <w:t>.</w:t>
      </w:r>
      <w:r w:rsidR="00665CDD" w:rsidRPr="000219CE">
        <w:rPr>
          <w:rStyle w:val="FootnoteReference"/>
        </w:rPr>
        <w:footnoteReference w:id="17"/>
      </w:r>
      <w:r w:rsidR="00665CDD" w:rsidRPr="000219CE">
        <w:t xml:space="preserve"> </w:t>
      </w:r>
      <w:r w:rsidRPr="000219CE">
        <w:t xml:space="preserve">The Australian Taxation Office </w:t>
      </w:r>
      <w:r w:rsidR="00487C0F" w:rsidRPr="000219CE">
        <w:t xml:space="preserve">(ATO) </w:t>
      </w:r>
      <w:r w:rsidRPr="000219CE">
        <w:t xml:space="preserve">estimates </w:t>
      </w:r>
      <w:r w:rsidRPr="000219CE">
        <w:lastRenderedPageBreak/>
        <w:t xml:space="preserve">that total tax compliance costs </w:t>
      </w:r>
      <w:r w:rsidR="003D35D6" w:rsidRPr="000219CE">
        <w:t>are in the order of</w:t>
      </w:r>
      <w:r w:rsidRPr="000219CE">
        <w:t xml:space="preserve"> $</w:t>
      </w:r>
      <w:r w:rsidR="00C216E9" w:rsidRPr="000219CE">
        <w:t>40</w:t>
      </w:r>
      <w:r w:rsidRPr="000219CE">
        <w:t> billion per year.</w:t>
      </w:r>
      <w:r w:rsidR="00C216E9" w:rsidRPr="000219CE">
        <w:rPr>
          <w:rStyle w:val="FootnoteReference"/>
        </w:rPr>
        <w:footnoteReference w:id="18"/>
      </w:r>
      <w:r w:rsidR="007B4589" w:rsidRPr="000219CE">
        <w:t xml:space="preserve"> </w:t>
      </w:r>
      <w:r w:rsidR="00234F32" w:rsidRPr="000219CE">
        <w:t>Around 72 per cent of</w:t>
      </w:r>
      <w:r w:rsidR="00667301">
        <w:t xml:space="preserve"> </w:t>
      </w:r>
      <w:r w:rsidRPr="000219CE">
        <w:t>Australian tax filers engaged a tax agent to assist them in meeting their tax obligations</w:t>
      </w:r>
      <w:r w:rsidR="00487C0F" w:rsidRPr="000219CE">
        <w:t xml:space="preserve"> for the 2011</w:t>
      </w:r>
      <w:r w:rsidR="00E53472">
        <w:noBreakHyphen/>
      </w:r>
      <w:r w:rsidR="00487C0F" w:rsidRPr="000219CE">
        <w:t>12 income year</w:t>
      </w:r>
      <w:r w:rsidR="00CD7B0E" w:rsidRPr="000219CE">
        <w:t>.</w:t>
      </w:r>
      <w:r w:rsidR="00FA2B33" w:rsidRPr="000219CE">
        <w:rPr>
          <w:rStyle w:val="FootnoteReference"/>
        </w:rPr>
        <w:footnoteReference w:id="19"/>
      </w:r>
      <w:r w:rsidRPr="000219CE">
        <w:t xml:space="preserve"> These costs </w:t>
      </w:r>
      <w:r w:rsidR="001F56A9" w:rsidRPr="000219CE">
        <w:t xml:space="preserve">represent </w:t>
      </w:r>
      <w:r w:rsidRPr="000219CE">
        <w:t xml:space="preserve">resources diverted from other more productive or </w:t>
      </w:r>
      <w:r w:rsidR="006553DB" w:rsidRPr="000219CE">
        <w:t xml:space="preserve">enjoyable </w:t>
      </w:r>
      <w:r w:rsidRPr="000219CE">
        <w:t>activities.</w:t>
      </w:r>
    </w:p>
    <w:p w14:paraId="23E9AC5A" w14:textId="77777777" w:rsidR="003645F8" w:rsidRPr="000219CE" w:rsidRDefault="003645F8" w:rsidP="003645F8">
      <w:pPr>
        <w:pStyle w:val="Heading3"/>
      </w:pPr>
      <w:bookmarkStart w:id="171" w:name="_Toc404346736"/>
      <w:bookmarkStart w:id="172" w:name="_Toc409532966"/>
      <w:r w:rsidRPr="000219CE">
        <w:t>Tax compliance costs have multiple drivers</w:t>
      </w:r>
      <w:bookmarkEnd w:id="171"/>
      <w:bookmarkEnd w:id="172"/>
    </w:p>
    <w:p w14:paraId="706612B1" w14:textId="4F769760" w:rsidR="00916D64" w:rsidRPr="000219CE" w:rsidRDefault="00C47C19" w:rsidP="00667301">
      <w:r w:rsidRPr="000219CE">
        <w:t>Changes in global business models and multinational tax planning</w:t>
      </w:r>
      <w:r w:rsidR="00796B28" w:rsidRPr="000219CE">
        <w:t xml:space="preserve"> </w:t>
      </w:r>
      <w:r w:rsidR="00E00F39" w:rsidRPr="000219CE">
        <w:t>are</w:t>
      </w:r>
      <w:r w:rsidR="00665CDD" w:rsidRPr="000219CE">
        <w:t xml:space="preserve"> </w:t>
      </w:r>
      <w:r w:rsidR="00366E4E" w:rsidRPr="000219CE">
        <w:t xml:space="preserve">major </w:t>
      </w:r>
      <w:r w:rsidR="00665CDD" w:rsidRPr="000219CE">
        <w:t>driver</w:t>
      </w:r>
      <w:r w:rsidR="00E00F39" w:rsidRPr="000219CE">
        <w:t>s</w:t>
      </w:r>
      <w:r w:rsidR="00665CDD" w:rsidRPr="000219CE">
        <w:t xml:space="preserve"> of </w:t>
      </w:r>
      <w:r w:rsidR="001F27A9" w:rsidRPr="000219CE">
        <w:t>complex</w:t>
      </w:r>
      <w:r w:rsidRPr="000219CE">
        <w:t>ity in</w:t>
      </w:r>
      <w:r w:rsidR="001F27A9" w:rsidRPr="000219CE">
        <w:t xml:space="preserve"> tax polic</w:t>
      </w:r>
      <w:r w:rsidRPr="000219CE">
        <w:t>y design</w:t>
      </w:r>
      <w:r w:rsidR="00CD7B0E" w:rsidRPr="000219CE">
        <w:t>, in part</w:t>
      </w:r>
      <w:r w:rsidR="00E00F39" w:rsidRPr="000219CE">
        <w:t xml:space="preserve"> because they threaten the revenue</w:t>
      </w:r>
      <w:r w:rsidR="00E53472">
        <w:noBreakHyphen/>
      </w:r>
      <w:r w:rsidR="00E00F39" w:rsidRPr="000219CE">
        <w:t>raising capacity of tax systems</w:t>
      </w:r>
      <w:r w:rsidR="001F27A9" w:rsidRPr="000219CE">
        <w:t xml:space="preserve">. </w:t>
      </w:r>
      <w:r w:rsidR="00796B28" w:rsidRPr="000219CE">
        <w:t>Complexity has also increased</w:t>
      </w:r>
      <w:r w:rsidR="001F27A9" w:rsidRPr="000219CE">
        <w:t xml:space="preserve"> as new treatments and concessions are added</w:t>
      </w:r>
      <w:r w:rsidR="00F317F8" w:rsidRPr="000219CE">
        <w:t xml:space="preserve"> in a </w:t>
      </w:r>
      <w:r w:rsidR="00E00F39" w:rsidRPr="000219CE">
        <w:t xml:space="preserve">piecemeal </w:t>
      </w:r>
      <w:r w:rsidR="00F317F8" w:rsidRPr="000219CE">
        <w:t>fashion</w:t>
      </w:r>
      <w:r w:rsidR="00E00F39" w:rsidRPr="000219CE">
        <w:t>, usually</w:t>
      </w:r>
      <w:r w:rsidR="001F27A9" w:rsidRPr="000219CE">
        <w:t xml:space="preserve"> </w:t>
      </w:r>
      <w:r w:rsidR="00F317F8" w:rsidRPr="000219CE">
        <w:t>to assist a particular group or otherwise correct for an unintended outcome</w:t>
      </w:r>
      <w:r w:rsidR="001F27A9" w:rsidRPr="000219CE">
        <w:t xml:space="preserve">. </w:t>
      </w:r>
      <w:r w:rsidR="00E00F39" w:rsidRPr="000219CE">
        <w:t>Although t</w:t>
      </w:r>
      <w:r w:rsidR="00F317F8" w:rsidRPr="000219CE">
        <w:t xml:space="preserve">hese measures are </w:t>
      </w:r>
      <w:r w:rsidR="00E00F39" w:rsidRPr="000219CE">
        <w:t xml:space="preserve">meant </w:t>
      </w:r>
      <w:r w:rsidR="00F317F8" w:rsidRPr="000219CE">
        <w:t xml:space="preserve">to provide benefits, </w:t>
      </w:r>
      <w:r w:rsidR="00916D64" w:rsidRPr="000219CE">
        <w:t xml:space="preserve">efforts to </w:t>
      </w:r>
      <w:r w:rsidR="00424528" w:rsidRPr="000219CE">
        <w:t xml:space="preserve">carefully target </w:t>
      </w:r>
      <w:r w:rsidR="00916D64" w:rsidRPr="000219CE">
        <w:t xml:space="preserve">concessions </w:t>
      </w:r>
      <w:r w:rsidR="00F317F8" w:rsidRPr="000219CE">
        <w:t xml:space="preserve">often impose </w:t>
      </w:r>
      <w:r w:rsidR="00366E4E" w:rsidRPr="000219CE">
        <w:t xml:space="preserve">substantial </w:t>
      </w:r>
      <w:r w:rsidR="00F317F8" w:rsidRPr="000219CE">
        <w:t>compliance costs on taxpayers</w:t>
      </w:r>
      <w:r w:rsidR="00366E4E" w:rsidRPr="000219CE">
        <w:t>.</w:t>
      </w:r>
    </w:p>
    <w:p w14:paraId="36913429" w14:textId="693D79A8" w:rsidR="00F317F8" w:rsidRPr="000219CE" w:rsidRDefault="006560D1" w:rsidP="001F27A9">
      <w:r w:rsidRPr="000219CE">
        <w:t>Complexity acts as an additional drag on the Australian economy</w:t>
      </w:r>
      <w:r w:rsidRPr="000219CE" w:rsidDel="006560D1">
        <w:t xml:space="preserve"> </w:t>
      </w:r>
      <w:r w:rsidRPr="000219CE">
        <w:t>when the costs of tax</w:t>
      </w:r>
      <w:r w:rsidR="00C23582" w:rsidRPr="000219CE">
        <w:t>ation</w:t>
      </w:r>
      <w:r w:rsidRPr="000219CE">
        <w:t xml:space="preserve"> </w:t>
      </w:r>
      <w:r w:rsidR="00976988" w:rsidRPr="000219CE">
        <w:t xml:space="preserve">arrangements </w:t>
      </w:r>
      <w:r w:rsidRPr="000219CE">
        <w:t>outweigh their</w:t>
      </w:r>
      <w:r w:rsidR="007845DE" w:rsidRPr="000219CE">
        <w:t xml:space="preserve"> intended benefits.</w:t>
      </w:r>
      <w:r w:rsidRPr="000219CE">
        <w:t xml:space="preserve"> </w:t>
      </w:r>
      <w:r w:rsidR="00C23582" w:rsidRPr="000219CE">
        <w:t>Reducing unnecessary complexity</w:t>
      </w:r>
      <w:r w:rsidRPr="000219CE">
        <w:t xml:space="preserve"> would clearly provide benefits to the economy. The Government</w:t>
      </w:r>
      <w:r w:rsidR="00E53472">
        <w:t>’</w:t>
      </w:r>
      <w:r w:rsidRPr="000219CE">
        <w:t>s deregulation agenda seeks to address compliance costs directly by reducing the amount of regulation</w:t>
      </w:r>
      <w:r w:rsidR="00475676">
        <w:t xml:space="preserve"> individuals and entities</w:t>
      </w:r>
      <w:r w:rsidRPr="000219CE">
        <w:t xml:space="preserve"> must comply with, including by simplifying particularly complicated areas of law</w:t>
      </w:r>
      <w:r w:rsidR="003D35D6" w:rsidRPr="000219CE">
        <w:t>,</w:t>
      </w:r>
      <w:r w:rsidR="00C23582" w:rsidRPr="000219CE">
        <w:t xml:space="preserve"> such as </w:t>
      </w:r>
      <w:r w:rsidRPr="000219CE">
        <w:t>tax</w:t>
      </w:r>
      <w:r w:rsidR="00976988" w:rsidRPr="000219CE">
        <w:t>ation</w:t>
      </w:r>
      <w:r w:rsidRPr="000219CE">
        <w:t xml:space="preserve"> law.</w:t>
      </w:r>
    </w:p>
    <w:p w14:paraId="7BFF8EFD" w14:textId="465CEC75" w:rsidR="001F27A9" w:rsidRPr="000219CE" w:rsidRDefault="00424528" w:rsidP="001F27A9">
      <w:r w:rsidRPr="000219CE">
        <w:t>Of course, t</w:t>
      </w:r>
      <w:r w:rsidR="001F27A9" w:rsidRPr="000219CE">
        <w:t xml:space="preserve">he impacts of complexity are broader than just compliance and administration costs. </w:t>
      </w:r>
      <w:r w:rsidR="009674A6" w:rsidRPr="000219CE">
        <w:t xml:space="preserve">Individuals may alter investment decisions based on the tax treatment of particular activities. </w:t>
      </w:r>
      <w:r w:rsidR="001F27A9" w:rsidRPr="000219CE">
        <w:t>In the business context</w:t>
      </w:r>
      <w:r w:rsidR="006553DB" w:rsidRPr="000219CE">
        <w:t>,</w:t>
      </w:r>
      <w:r w:rsidR="001F27A9" w:rsidRPr="000219CE">
        <w:t xml:space="preserve"> this can manifest as a business choosing a particular business structure (or combination of structures) to achieve a particular tax outcome.</w:t>
      </w:r>
    </w:p>
    <w:p w14:paraId="3A7142F4" w14:textId="1A784E8D" w:rsidR="002C793E" w:rsidRPr="000219CE" w:rsidRDefault="002C793E" w:rsidP="001F27A9">
      <w:r w:rsidRPr="000219CE">
        <w:t>Individuals and entities</w:t>
      </w:r>
      <w:r w:rsidR="001F27A9" w:rsidRPr="000219CE">
        <w:t xml:space="preserve"> willing to engage with complexity </w:t>
      </w:r>
      <w:r w:rsidR="00C47C19" w:rsidRPr="000219CE">
        <w:t xml:space="preserve">in the tax system </w:t>
      </w:r>
      <w:r w:rsidRPr="000219CE">
        <w:t>can</w:t>
      </w:r>
      <w:r w:rsidR="00234F32" w:rsidRPr="000219CE">
        <w:t xml:space="preserve"> structure their </w:t>
      </w:r>
      <w:r w:rsidR="001F27A9" w:rsidRPr="000219CE">
        <w:t>affairs so as to minimise their tax liability. This can involve</w:t>
      </w:r>
      <w:r w:rsidR="00234F32" w:rsidRPr="000219CE">
        <w:t xml:space="preserve"> using different legal forms or </w:t>
      </w:r>
      <w:r w:rsidR="001F27A9" w:rsidRPr="000219CE">
        <w:t xml:space="preserve">structures to take advantage of opportunities presented by concessions or gaps in the structure of the law. </w:t>
      </w:r>
      <w:r w:rsidR="00C47C19" w:rsidRPr="000219CE">
        <w:t>Economically similar activities may end up being taxed differently</w:t>
      </w:r>
      <w:r w:rsidR="00976988" w:rsidRPr="000219CE">
        <w:t>,</w:t>
      </w:r>
      <w:r w:rsidR="00C47C19" w:rsidRPr="000219CE">
        <w:t xml:space="preserve"> depending on </w:t>
      </w:r>
      <w:r w:rsidR="00D635F2">
        <w:t>professional advice</w:t>
      </w:r>
      <w:r w:rsidR="00EF4AE0" w:rsidRPr="000219CE">
        <w:t xml:space="preserve"> or</w:t>
      </w:r>
      <w:r w:rsidR="00C47C19" w:rsidRPr="000219CE">
        <w:t xml:space="preserve"> </w:t>
      </w:r>
      <w:r w:rsidR="00EF4AE0" w:rsidRPr="000219CE">
        <w:t>choice of legal</w:t>
      </w:r>
      <w:r w:rsidR="00C47C19" w:rsidRPr="000219CE">
        <w:t xml:space="preserve"> structur</w:t>
      </w:r>
      <w:r w:rsidR="00EF4AE0" w:rsidRPr="000219CE">
        <w:t>e</w:t>
      </w:r>
      <w:r w:rsidR="00C47C19" w:rsidRPr="000219CE">
        <w:t xml:space="preserve">. </w:t>
      </w:r>
      <w:r w:rsidR="001F27A9" w:rsidRPr="000219CE">
        <w:t xml:space="preserve">Tax planning of this nature is usually </w:t>
      </w:r>
      <w:r w:rsidR="00C47C19" w:rsidRPr="000219CE">
        <w:t xml:space="preserve">more </w:t>
      </w:r>
      <w:r w:rsidR="001F27A9" w:rsidRPr="000219CE">
        <w:t>accessible to higher</w:t>
      </w:r>
      <w:r w:rsidR="00E53472">
        <w:noBreakHyphen/>
      </w:r>
      <w:r w:rsidR="001F27A9" w:rsidRPr="000219CE">
        <w:t xml:space="preserve">income taxpayers, which </w:t>
      </w:r>
      <w:r w:rsidR="00976988" w:rsidRPr="000219CE">
        <w:t xml:space="preserve">can </w:t>
      </w:r>
      <w:r w:rsidR="001F27A9" w:rsidRPr="000219CE">
        <w:t>contribute to perceptions that the tax system is inequitable.</w:t>
      </w:r>
    </w:p>
    <w:p w14:paraId="161D7E2B" w14:textId="65BDF790" w:rsidR="001F27A9" w:rsidRPr="000219CE" w:rsidRDefault="00A7602F" w:rsidP="00457D02">
      <w:pPr>
        <w:pStyle w:val="Heading3"/>
      </w:pPr>
      <w:bookmarkStart w:id="173" w:name="_Toc404346737"/>
      <w:bookmarkStart w:id="174" w:name="_Toc409532967"/>
      <w:r w:rsidRPr="000219CE">
        <w:t>Approaches and practices will need to change to reduce complexity in the tax system</w:t>
      </w:r>
      <w:bookmarkEnd w:id="173"/>
      <w:bookmarkEnd w:id="174"/>
    </w:p>
    <w:p w14:paraId="047DEDA6" w14:textId="23C25007" w:rsidR="001F27A9" w:rsidRPr="000219CE" w:rsidRDefault="004561D5" w:rsidP="001F27A9">
      <w:r w:rsidRPr="000219CE">
        <w:t xml:space="preserve">There are limited opportunities for a holistic, </w:t>
      </w:r>
      <w:r w:rsidR="00E53472">
        <w:t>‘</w:t>
      </w:r>
      <w:r w:rsidRPr="000219CE">
        <w:t>first principles</w:t>
      </w:r>
      <w:r w:rsidR="00E53472">
        <w:t>’</w:t>
      </w:r>
      <w:r w:rsidRPr="000219CE">
        <w:t xml:space="preserve"> consideration of the tax system, including whether </w:t>
      </w:r>
      <w:r w:rsidR="00EF4AE0" w:rsidRPr="000219CE">
        <w:t xml:space="preserve">its </w:t>
      </w:r>
      <w:r w:rsidRPr="000219CE">
        <w:t xml:space="preserve">fundamentals </w:t>
      </w:r>
      <w:r w:rsidR="00EF4AE0" w:rsidRPr="000219CE">
        <w:t>are still</w:t>
      </w:r>
      <w:r w:rsidRPr="000219CE">
        <w:t xml:space="preserve"> relevant. Historically, </w:t>
      </w:r>
      <w:r w:rsidR="00EF4AE0" w:rsidRPr="000219CE">
        <w:t xml:space="preserve">successive tax reviews </w:t>
      </w:r>
      <w:r w:rsidR="002237BA" w:rsidRPr="000219CE">
        <w:t xml:space="preserve">have </w:t>
      </w:r>
      <w:r w:rsidR="00EF4AE0" w:rsidRPr="000219CE">
        <w:t>focused on the need to reduce the complexity of the tax system. T</w:t>
      </w:r>
      <w:r w:rsidRPr="000219CE">
        <w:t>his focus</w:t>
      </w:r>
      <w:r w:rsidR="00EF4AE0" w:rsidRPr="000219CE">
        <w:t xml:space="preserve"> tended to</w:t>
      </w:r>
      <w:r w:rsidRPr="000219CE">
        <w:t xml:space="preserve"> diminish once the </w:t>
      </w:r>
      <w:r w:rsidR="00454843" w:rsidRPr="000219CE">
        <w:t xml:space="preserve">review </w:t>
      </w:r>
      <w:r w:rsidRPr="000219CE">
        <w:t xml:space="preserve">process </w:t>
      </w:r>
      <w:r w:rsidR="00EF4AE0" w:rsidRPr="000219CE">
        <w:t xml:space="preserve">was </w:t>
      </w:r>
      <w:r w:rsidRPr="000219CE">
        <w:t xml:space="preserve">complete. </w:t>
      </w:r>
      <w:r w:rsidR="00EF4AE0" w:rsidRPr="000219CE">
        <w:t>S</w:t>
      </w:r>
      <w:r w:rsidR="001F27A9" w:rsidRPr="000219CE">
        <w:t xml:space="preserve">ubstantial and enduring progress </w:t>
      </w:r>
      <w:r w:rsidR="00EF4AE0" w:rsidRPr="000219CE">
        <w:t xml:space="preserve">towards </w:t>
      </w:r>
      <w:r w:rsidR="001F27A9" w:rsidRPr="000219CE">
        <w:t xml:space="preserve">reducing complexity has </w:t>
      </w:r>
      <w:r w:rsidR="00EF4AE0" w:rsidRPr="000219CE">
        <w:t xml:space="preserve">remained elusive </w:t>
      </w:r>
      <w:r w:rsidR="001F27A9" w:rsidRPr="000219CE">
        <w:t>for a range of reasons, including the trade</w:t>
      </w:r>
      <w:r w:rsidR="00E53472">
        <w:noBreakHyphen/>
      </w:r>
      <w:r w:rsidR="001F27A9" w:rsidRPr="000219CE">
        <w:t>offs involved</w:t>
      </w:r>
      <w:r w:rsidR="00AC472D" w:rsidRPr="000219CE">
        <w:t xml:space="preserve">. </w:t>
      </w:r>
    </w:p>
    <w:p w14:paraId="6E12AB5B" w14:textId="0BB65BF8" w:rsidR="001F27A9" w:rsidRPr="000219CE" w:rsidRDefault="00CD7B0E" w:rsidP="000D0ADB">
      <w:r w:rsidRPr="000219CE">
        <w:lastRenderedPageBreak/>
        <w:t>M</w:t>
      </w:r>
      <w:r w:rsidR="001F27A9" w:rsidRPr="000219CE">
        <w:t>inimising tax complexity</w:t>
      </w:r>
      <w:r w:rsidRPr="000219CE">
        <w:t xml:space="preserve"> </w:t>
      </w:r>
      <w:r w:rsidR="00AB3612" w:rsidRPr="000219CE">
        <w:t>requires a broad</w:t>
      </w:r>
      <w:r w:rsidR="001F27A9" w:rsidRPr="000219CE">
        <w:t xml:space="preserve"> change in attitudes and practices</w:t>
      </w:r>
      <w:r w:rsidR="00AB3612" w:rsidRPr="000219CE">
        <w:t>, including</w:t>
      </w:r>
      <w:r w:rsidR="001F27A9" w:rsidRPr="000219CE">
        <w:t xml:space="preserve"> </w:t>
      </w:r>
      <w:r w:rsidR="00AB3612" w:rsidRPr="000219CE">
        <w:t xml:space="preserve">community </w:t>
      </w:r>
      <w:r w:rsidR="001F27A9" w:rsidRPr="000219CE">
        <w:t>acceptance that</w:t>
      </w:r>
      <w:r w:rsidR="00866CB2">
        <w:t>,</w:t>
      </w:r>
      <w:r w:rsidR="001F27A9" w:rsidRPr="000219CE">
        <w:t xml:space="preserve"> while a reduction in complexity is likely to deliver substantial benefits </w:t>
      </w:r>
      <w:r w:rsidR="00F330CD" w:rsidRPr="000219CE">
        <w:t>for taxpayers</w:t>
      </w:r>
      <w:r w:rsidR="00F330CD" w:rsidRPr="000219CE" w:rsidDel="00F330CD">
        <w:t xml:space="preserve"> </w:t>
      </w:r>
      <w:r w:rsidR="001F27A9" w:rsidRPr="000219CE">
        <w:t>as a whole, solutions are</w:t>
      </w:r>
      <w:r w:rsidR="00C26ECF" w:rsidRPr="000219CE">
        <w:t xml:space="preserve"> also</w:t>
      </w:r>
      <w:r w:rsidR="001F27A9" w:rsidRPr="000219CE">
        <w:t xml:space="preserve"> likely to entail costs</w:t>
      </w:r>
      <w:r w:rsidR="00454843" w:rsidRPr="000219CE">
        <w:t xml:space="preserve"> for some</w:t>
      </w:r>
      <w:r w:rsidR="001F27A9" w:rsidRPr="000219CE">
        <w:t>.</w:t>
      </w:r>
    </w:p>
    <w:p w14:paraId="25D8037E" w14:textId="77777777" w:rsidR="000D0ADB" w:rsidRPr="000219CE" w:rsidRDefault="000D0ADB" w:rsidP="00667301"/>
    <w:p w14:paraId="47B13C7C" w14:textId="7E1114A3" w:rsidR="001F27A9" w:rsidRPr="000219CE" w:rsidRDefault="00377C3E" w:rsidP="00157DC2">
      <w:pPr>
        <w:pStyle w:val="Heading2"/>
        <w:rPr>
          <w:rFonts w:eastAsia="SimHei"/>
          <w:lang w:eastAsia="en-US"/>
        </w:rPr>
      </w:pPr>
      <w:bookmarkStart w:id="175" w:name="_Toc404346738"/>
      <w:bookmarkStart w:id="176" w:name="_Toc409532968"/>
      <w:r w:rsidRPr="000219CE">
        <w:rPr>
          <w:rFonts w:eastAsia="SimHei"/>
          <w:lang w:eastAsia="en-US"/>
        </w:rPr>
        <w:t>Tax systems need to</w:t>
      </w:r>
      <w:r w:rsidR="005D4873" w:rsidRPr="000219CE">
        <w:rPr>
          <w:rFonts w:eastAsia="SimHei"/>
          <w:lang w:eastAsia="en-US"/>
        </w:rPr>
        <w:t xml:space="preserve"> be accepted</w:t>
      </w:r>
      <w:r w:rsidRPr="000219CE">
        <w:rPr>
          <w:rFonts w:eastAsia="SimHei"/>
          <w:lang w:eastAsia="en-US"/>
        </w:rPr>
        <w:t xml:space="preserve"> as fair to be </w:t>
      </w:r>
      <w:bookmarkStart w:id="177" w:name="_Toc402326858"/>
      <w:bookmarkStart w:id="178" w:name="_Toc402333510"/>
      <w:bookmarkStart w:id="179" w:name="_Toc402340286"/>
      <w:bookmarkStart w:id="180" w:name="_Toc402343381"/>
      <w:bookmarkStart w:id="181" w:name="_Toc402346617"/>
      <w:r w:rsidRPr="000219CE">
        <w:rPr>
          <w:rFonts w:eastAsia="SimHei"/>
          <w:lang w:eastAsia="en-US"/>
        </w:rPr>
        <w:t>e</w:t>
      </w:r>
      <w:r w:rsidR="001F27A9" w:rsidRPr="000219CE">
        <w:rPr>
          <w:rFonts w:eastAsia="SimHei"/>
          <w:lang w:eastAsia="en-US"/>
        </w:rPr>
        <w:t>ffective, sustainable and credible</w:t>
      </w:r>
      <w:bookmarkEnd w:id="175"/>
      <w:bookmarkEnd w:id="176"/>
      <w:r w:rsidR="001F27A9" w:rsidRPr="000219CE">
        <w:rPr>
          <w:rFonts w:eastAsia="SimHei"/>
          <w:lang w:eastAsia="en-US"/>
        </w:rPr>
        <w:t xml:space="preserve"> </w:t>
      </w:r>
      <w:bookmarkEnd w:id="177"/>
      <w:bookmarkEnd w:id="178"/>
      <w:bookmarkEnd w:id="179"/>
      <w:bookmarkEnd w:id="180"/>
      <w:bookmarkEnd w:id="181"/>
    </w:p>
    <w:p w14:paraId="45FEA77D" w14:textId="7AD370C2" w:rsidR="001F27A9" w:rsidRPr="000219CE" w:rsidRDefault="005D4873" w:rsidP="00457D02">
      <w:pPr>
        <w:rPr>
          <w:rFonts w:eastAsia="SimHei"/>
        </w:rPr>
      </w:pPr>
      <w:r w:rsidRPr="000219CE">
        <w:rPr>
          <w:rFonts w:eastAsia="SimHei"/>
        </w:rPr>
        <w:t xml:space="preserve">To be </w:t>
      </w:r>
      <w:r w:rsidR="001F27A9" w:rsidRPr="000219CE">
        <w:rPr>
          <w:rFonts w:eastAsia="SimHei"/>
        </w:rPr>
        <w:t>sustainable</w:t>
      </w:r>
      <w:r w:rsidR="002412B9" w:rsidRPr="000219CE">
        <w:rPr>
          <w:rFonts w:eastAsia="SimHei"/>
        </w:rPr>
        <w:t>,</w:t>
      </w:r>
      <w:r w:rsidR="001F27A9" w:rsidRPr="000219CE">
        <w:rPr>
          <w:rFonts w:eastAsia="SimHei"/>
        </w:rPr>
        <w:t xml:space="preserve"> </w:t>
      </w:r>
      <w:r w:rsidRPr="000219CE">
        <w:rPr>
          <w:rFonts w:eastAsia="SimHei"/>
        </w:rPr>
        <w:t xml:space="preserve">a </w:t>
      </w:r>
      <w:r w:rsidR="001F27A9" w:rsidRPr="000219CE">
        <w:rPr>
          <w:rFonts w:eastAsia="SimHei"/>
        </w:rPr>
        <w:t xml:space="preserve">tax system must be </w:t>
      </w:r>
      <w:r w:rsidRPr="000219CE">
        <w:rPr>
          <w:rFonts w:eastAsia="SimHei"/>
        </w:rPr>
        <w:t>accepted</w:t>
      </w:r>
      <w:r w:rsidR="001F27A9" w:rsidRPr="000219CE">
        <w:rPr>
          <w:rFonts w:eastAsia="SimHei"/>
        </w:rPr>
        <w:t xml:space="preserve"> </w:t>
      </w:r>
      <w:r w:rsidRPr="000219CE">
        <w:rPr>
          <w:rFonts w:eastAsia="SimHei"/>
        </w:rPr>
        <w:t>by the community a</w:t>
      </w:r>
      <w:r w:rsidR="001F27A9" w:rsidRPr="000219CE">
        <w:rPr>
          <w:rFonts w:eastAsia="SimHei"/>
        </w:rPr>
        <w:t>s fair</w:t>
      </w:r>
      <w:r w:rsidR="0086090E" w:rsidRPr="000219CE">
        <w:rPr>
          <w:rFonts w:eastAsia="SimHei"/>
        </w:rPr>
        <w:t xml:space="preserve">. </w:t>
      </w:r>
      <w:r w:rsidR="00EF4B82" w:rsidRPr="000219CE">
        <w:rPr>
          <w:rFonts w:eastAsia="SimHei"/>
        </w:rPr>
        <w:t>T</w:t>
      </w:r>
      <w:r w:rsidR="001F27A9" w:rsidRPr="000219CE">
        <w:rPr>
          <w:rFonts w:eastAsia="SimHei"/>
        </w:rPr>
        <w:t xml:space="preserve">here is general acceptance (not just in Australia but around the world) that taxpayers with a greater ability to pay tax should pay more tax (vertical equity) and that taxpayers in economically similar situations should pay similar amounts of tax (horizontal equity). The progressivity of a tax system refers to the extent to which those with a greater ability to pay are expected to pay more. </w:t>
      </w:r>
      <w:r w:rsidR="00F330CD" w:rsidRPr="000219CE">
        <w:rPr>
          <w:rFonts w:eastAsia="SimHei"/>
        </w:rPr>
        <w:t xml:space="preserve">Progressivity in the tax system operates alongside </w:t>
      </w:r>
      <w:r w:rsidR="0021178D" w:rsidRPr="000219CE">
        <w:rPr>
          <w:rFonts w:eastAsia="SimHei"/>
        </w:rPr>
        <w:t>the</w:t>
      </w:r>
      <w:r w:rsidR="00F330CD" w:rsidRPr="000219CE">
        <w:rPr>
          <w:rFonts w:eastAsia="SimHei"/>
        </w:rPr>
        <w:t xml:space="preserve"> transfer system to deliver on income redistribution goals.</w:t>
      </w:r>
    </w:p>
    <w:p w14:paraId="3615C029" w14:textId="3668D0BC" w:rsidR="0021178D" w:rsidRPr="000219CE" w:rsidRDefault="0021178D" w:rsidP="00457D02">
      <w:pPr>
        <w:pStyle w:val="Heading3"/>
        <w:rPr>
          <w:rFonts w:eastAsia="SimHei"/>
          <w:lang w:eastAsia="en-US"/>
        </w:rPr>
      </w:pPr>
      <w:bookmarkStart w:id="182" w:name="_Toc404346739"/>
      <w:bookmarkStart w:id="183" w:name="_Toc409532969"/>
      <w:r w:rsidRPr="000219CE">
        <w:rPr>
          <w:rFonts w:eastAsia="SimHei"/>
          <w:lang w:eastAsia="en-US"/>
        </w:rPr>
        <w:t>Australia</w:t>
      </w:r>
      <w:r w:rsidR="00E53472">
        <w:rPr>
          <w:rFonts w:eastAsia="SimHei"/>
          <w:lang w:eastAsia="en-US"/>
        </w:rPr>
        <w:t>’</w:t>
      </w:r>
      <w:r w:rsidRPr="000219CE">
        <w:rPr>
          <w:rFonts w:eastAsia="SimHei"/>
          <w:lang w:eastAsia="en-US"/>
        </w:rPr>
        <w:t>s tax and transfer system</w:t>
      </w:r>
      <w:r w:rsidR="001934E7" w:rsidRPr="000219CE">
        <w:rPr>
          <w:rFonts w:eastAsia="SimHei"/>
          <w:lang w:eastAsia="en-US"/>
        </w:rPr>
        <w:t>s</w:t>
      </w:r>
      <w:r w:rsidRPr="000219CE">
        <w:rPr>
          <w:rFonts w:eastAsia="SimHei"/>
          <w:lang w:eastAsia="en-US"/>
        </w:rPr>
        <w:t xml:space="preserve"> </w:t>
      </w:r>
      <w:r w:rsidR="001934E7" w:rsidRPr="000219CE">
        <w:rPr>
          <w:rFonts w:eastAsia="SimHei"/>
          <w:lang w:eastAsia="en-US"/>
        </w:rPr>
        <w:t xml:space="preserve">are </w:t>
      </w:r>
      <w:r w:rsidRPr="000219CE">
        <w:rPr>
          <w:rFonts w:eastAsia="SimHei"/>
          <w:lang w:eastAsia="en-US"/>
        </w:rPr>
        <w:t>highly progressive</w:t>
      </w:r>
      <w:bookmarkEnd w:id="182"/>
      <w:bookmarkEnd w:id="183"/>
    </w:p>
    <w:p w14:paraId="00F32658" w14:textId="56CD3003" w:rsidR="00CD21C2" w:rsidRPr="000219CE" w:rsidRDefault="001F27A9" w:rsidP="00457D02">
      <w:pPr>
        <w:rPr>
          <w:rFonts w:eastAsia="SimHei"/>
        </w:rPr>
      </w:pPr>
      <w:r w:rsidRPr="000219CE">
        <w:rPr>
          <w:rFonts w:eastAsia="SimHei"/>
        </w:rPr>
        <w:t>Australia</w:t>
      </w:r>
      <w:r w:rsidR="00E53472">
        <w:rPr>
          <w:rFonts w:eastAsia="SimHei"/>
        </w:rPr>
        <w:t>’</w:t>
      </w:r>
      <w:r w:rsidRPr="000219CE">
        <w:rPr>
          <w:rFonts w:eastAsia="SimHei"/>
        </w:rPr>
        <w:t xml:space="preserve">s tax </w:t>
      </w:r>
      <w:r w:rsidR="00B9396C" w:rsidRPr="000219CE">
        <w:rPr>
          <w:rFonts w:eastAsia="SimHei"/>
        </w:rPr>
        <w:t xml:space="preserve">and transfer </w:t>
      </w:r>
      <w:r w:rsidRPr="000219CE">
        <w:rPr>
          <w:rFonts w:eastAsia="SimHei"/>
        </w:rPr>
        <w:t>system</w:t>
      </w:r>
      <w:r w:rsidR="00454843" w:rsidRPr="000219CE">
        <w:rPr>
          <w:rFonts w:eastAsia="SimHei"/>
        </w:rPr>
        <w:t>s</w:t>
      </w:r>
      <w:r w:rsidRPr="000219CE">
        <w:rPr>
          <w:rFonts w:eastAsia="SimHei"/>
        </w:rPr>
        <w:t xml:space="preserve"> </w:t>
      </w:r>
      <w:r w:rsidR="00454843" w:rsidRPr="000219CE">
        <w:rPr>
          <w:rFonts w:eastAsia="SimHei"/>
        </w:rPr>
        <w:t>are</w:t>
      </w:r>
      <w:r w:rsidR="00B9396C" w:rsidRPr="000219CE">
        <w:rPr>
          <w:rFonts w:eastAsia="SimHei"/>
        </w:rPr>
        <w:t xml:space="preserve"> </w:t>
      </w:r>
      <w:r w:rsidRPr="000219CE">
        <w:rPr>
          <w:rFonts w:eastAsia="SimHei"/>
        </w:rPr>
        <w:t>highly progressive</w:t>
      </w:r>
      <w:r w:rsidR="00B9396C" w:rsidRPr="000219CE">
        <w:rPr>
          <w:rFonts w:eastAsia="SimHei"/>
        </w:rPr>
        <w:t>.</w:t>
      </w:r>
      <w:r w:rsidR="008E798E" w:rsidRPr="000219CE">
        <w:rPr>
          <w:rFonts w:eastAsia="SimHei"/>
        </w:rPr>
        <w:t xml:space="preserve"> </w:t>
      </w:r>
      <w:r w:rsidR="00F27339" w:rsidRPr="000219CE">
        <w:rPr>
          <w:rFonts w:eastAsia="SimHei"/>
        </w:rPr>
        <w:t>P</w:t>
      </w:r>
      <w:r w:rsidR="008E798E" w:rsidRPr="000219CE">
        <w:rPr>
          <w:rFonts w:eastAsia="SimHei"/>
        </w:rPr>
        <w:t>rogressive</w:t>
      </w:r>
      <w:r w:rsidR="00F27339" w:rsidRPr="000219CE">
        <w:rPr>
          <w:rFonts w:eastAsia="SimHei"/>
        </w:rPr>
        <w:t xml:space="preserve"> </w:t>
      </w:r>
      <w:r w:rsidR="00A21E2D" w:rsidRPr="000219CE">
        <w:rPr>
          <w:rFonts w:eastAsia="SimHei"/>
        </w:rPr>
        <w:t>individuals</w:t>
      </w:r>
      <w:r w:rsidR="008E798E" w:rsidRPr="000219CE">
        <w:rPr>
          <w:rFonts w:eastAsia="SimHei"/>
        </w:rPr>
        <w:t xml:space="preserve"> tax rates and thresholds </w:t>
      </w:r>
      <w:r w:rsidR="00F27339" w:rsidRPr="000219CE">
        <w:rPr>
          <w:rFonts w:eastAsia="SimHei"/>
        </w:rPr>
        <w:t>underpin the</w:t>
      </w:r>
      <w:r w:rsidR="008E798E" w:rsidRPr="000219CE">
        <w:rPr>
          <w:rFonts w:eastAsia="SimHei"/>
        </w:rPr>
        <w:t xml:space="preserve"> </w:t>
      </w:r>
      <w:r w:rsidR="00F27339" w:rsidRPr="000219CE">
        <w:rPr>
          <w:rFonts w:eastAsia="SimHei"/>
        </w:rPr>
        <w:t>overall progressivity of the tax system</w:t>
      </w:r>
      <w:r w:rsidR="00CD017F" w:rsidRPr="000219CE">
        <w:rPr>
          <w:rFonts w:eastAsia="SimHei"/>
        </w:rPr>
        <w:t xml:space="preserve"> (</w:t>
      </w:r>
      <w:r w:rsidR="00603F58" w:rsidRPr="000219CE">
        <w:rPr>
          <w:rFonts w:eastAsia="SimHei"/>
        </w:rPr>
        <w:t>C</w:t>
      </w:r>
      <w:r w:rsidR="00CD017F" w:rsidRPr="000219CE">
        <w:rPr>
          <w:rFonts w:eastAsia="SimHei"/>
        </w:rPr>
        <w:t xml:space="preserve">hart </w:t>
      </w:r>
      <w:r w:rsidR="00E97F32" w:rsidRPr="000219CE">
        <w:rPr>
          <w:rFonts w:eastAsia="SimHei"/>
        </w:rPr>
        <w:t>2</w:t>
      </w:r>
      <w:r w:rsidR="004B50A1" w:rsidRPr="000219CE">
        <w:rPr>
          <w:rFonts w:eastAsia="SimHei"/>
        </w:rPr>
        <w:t>.</w:t>
      </w:r>
      <w:r w:rsidR="00FD2CE6">
        <w:rPr>
          <w:rFonts w:eastAsia="SimHei"/>
        </w:rPr>
        <w:t>1</w:t>
      </w:r>
      <w:r w:rsidR="00DA3F43">
        <w:rPr>
          <w:rFonts w:eastAsia="SimHei"/>
        </w:rPr>
        <w:t>1</w:t>
      </w:r>
      <w:r w:rsidR="00CD017F" w:rsidRPr="000219CE">
        <w:rPr>
          <w:rFonts w:eastAsia="SimHei"/>
        </w:rPr>
        <w:t>)</w:t>
      </w:r>
      <w:r w:rsidR="00F27339" w:rsidRPr="000219CE">
        <w:rPr>
          <w:rFonts w:eastAsia="SimHei"/>
        </w:rPr>
        <w:t>.</w:t>
      </w:r>
      <w:r w:rsidR="00B9396C" w:rsidRPr="000219CE">
        <w:rPr>
          <w:rFonts w:eastAsia="SimHei"/>
        </w:rPr>
        <w:t xml:space="preserve"> </w:t>
      </w:r>
    </w:p>
    <w:p w14:paraId="4E423735" w14:textId="7291BBBF" w:rsidR="008B3962" w:rsidRPr="000219CE" w:rsidRDefault="00CD017F" w:rsidP="000971E3">
      <w:pPr>
        <w:pStyle w:val="ChartMainHeading"/>
        <w:rPr>
          <w:rFonts w:eastAsia="SimHei"/>
        </w:rPr>
      </w:pPr>
      <w:bookmarkStart w:id="184" w:name="_Ref404346280"/>
      <w:proofErr w:type="gramStart"/>
      <w:r w:rsidRPr="000219CE">
        <w:rPr>
          <w:rFonts w:eastAsia="SimHei"/>
        </w:rPr>
        <w:t xml:space="preserve">Chart </w:t>
      </w:r>
      <w:fldSimple w:instr=" STYLEREF 1 \s ">
        <w:r w:rsidR="0068169D">
          <w:rPr>
            <w:noProof/>
          </w:rPr>
          <w:t>2</w:t>
        </w:r>
      </w:fldSimple>
      <w:r w:rsidR="00213BBF" w:rsidRPr="000219CE">
        <w:t>.</w:t>
      </w:r>
      <w:proofErr w:type="gramEnd"/>
      <w:r w:rsidR="0068169D">
        <w:fldChar w:fldCharType="begin"/>
      </w:r>
      <w:r w:rsidR="0068169D">
        <w:instrText xml:space="preserve"> SEQ Chart \* ARABIC \s 1 </w:instrText>
      </w:r>
      <w:r w:rsidR="0068169D">
        <w:fldChar w:fldCharType="separate"/>
      </w:r>
      <w:r w:rsidR="0068169D">
        <w:rPr>
          <w:noProof/>
        </w:rPr>
        <w:t>11</w:t>
      </w:r>
      <w:r w:rsidR="0068169D">
        <w:rPr>
          <w:noProof/>
        </w:rPr>
        <w:fldChar w:fldCharType="end"/>
      </w:r>
      <w:bookmarkEnd w:id="184"/>
      <w:r w:rsidR="00705842" w:rsidRPr="000219CE">
        <w:rPr>
          <w:rFonts w:eastAsia="SimHei"/>
        </w:rPr>
        <w:t xml:space="preserve"> </w:t>
      </w:r>
      <w:r w:rsidR="00151AC2" w:rsidRPr="000219CE">
        <w:rPr>
          <w:rFonts w:eastAsia="SimHei"/>
        </w:rPr>
        <w:t>Transfer payments</w:t>
      </w:r>
      <w:r w:rsidR="004B6246" w:rsidRPr="000219CE">
        <w:rPr>
          <w:rFonts w:eastAsia="SimHei"/>
        </w:rPr>
        <w:t xml:space="preserve"> and</w:t>
      </w:r>
      <w:r w:rsidR="00151AC2" w:rsidRPr="000219CE">
        <w:rPr>
          <w:rFonts w:eastAsia="SimHei"/>
        </w:rPr>
        <w:t xml:space="preserve"> t</w:t>
      </w:r>
      <w:r w:rsidR="008B3962" w:rsidRPr="000219CE">
        <w:rPr>
          <w:rFonts w:eastAsia="SimHei"/>
        </w:rPr>
        <w:t xml:space="preserve">axes </w:t>
      </w:r>
      <w:r w:rsidR="00151AC2" w:rsidRPr="000219CE">
        <w:rPr>
          <w:rFonts w:eastAsia="SimHei"/>
        </w:rPr>
        <w:t xml:space="preserve">as a percentage of gross income </w:t>
      </w:r>
      <w:r w:rsidR="008B3962" w:rsidRPr="000219CE">
        <w:rPr>
          <w:rFonts w:eastAsia="SimHei"/>
        </w:rPr>
        <w:t xml:space="preserve">by </w:t>
      </w:r>
      <w:r w:rsidR="004B6246" w:rsidRPr="000219CE">
        <w:rPr>
          <w:rFonts w:eastAsia="SimHei"/>
        </w:rPr>
        <w:t>household</w:t>
      </w:r>
      <w:r w:rsidR="00667301">
        <w:rPr>
          <w:rFonts w:eastAsia="SimHei"/>
        </w:rPr>
        <w:t> income </w:t>
      </w:r>
      <w:r w:rsidR="008B3962" w:rsidRPr="000219CE">
        <w:rPr>
          <w:rFonts w:eastAsia="SimHei"/>
        </w:rPr>
        <w:t xml:space="preserve">quintile, </w:t>
      </w:r>
      <w:r w:rsidR="00FB5313" w:rsidRPr="000219CE">
        <w:rPr>
          <w:rFonts w:eastAsia="SimHei"/>
        </w:rPr>
        <w:t>Australia</w:t>
      </w:r>
      <w:r w:rsidR="003547E9" w:rsidRPr="000219CE">
        <w:rPr>
          <w:rFonts w:eastAsia="SimHei"/>
        </w:rPr>
        <w:t>,</w:t>
      </w:r>
      <w:r w:rsidR="00FB5313" w:rsidRPr="000219CE">
        <w:rPr>
          <w:rFonts w:eastAsia="SimHei"/>
        </w:rPr>
        <w:t xml:space="preserve"> </w:t>
      </w:r>
      <w:r w:rsidR="008B3962" w:rsidRPr="000219CE">
        <w:rPr>
          <w:rFonts w:eastAsia="SimHei"/>
        </w:rPr>
        <w:t>2009</w:t>
      </w:r>
      <w:r w:rsidR="00E53472">
        <w:rPr>
          <w:rFonts w:eastAsia="SimHei"/>
        </w:rPr>
        <w:noBreakHyphen/>
      </w:r>
      <w:r w:rsidR="008B3962" w:rsidRPr="000219CE">
        <w:rPr>
          <w:rFonts w:eastAsia="SimHei"/>
        </w:rPr>
        <w:t>10</w:t>
      </w:r>
    </w:p>
    <w:p w14:paraId="70935EFC" w14:textId="642EE6AA" w:rsidR="00CD017F" w:rsidRPr="000219CE" w:rsidRDefault="00085769" w:rsidP="00085769">
      <w:pPr>
        <w:pStyle w:val="ChartGraphic"/>
        <w:rPr>
          <w:rFonts w:eastAsia="SimHei"/>
        </w:rPr>
      </w:pPr>
      <w:r>
        <w:rPr>
          <w:rFonts w:eastAsia="SimHei"/>
        </w:rPr>
        <w:fldChar w:fldCharType="begin" w:fldLock="1"/>
      </w:r>
      <w:r>
        <w:rPr>
          <w:rFonts w:eastAsia="SimHei"/>
        </w:rPr>
        <w:instrText xml:space="preserve"> LINK Excel.Sheet.12 "" "" \a \p </w:instrText>
      </w:r>
      <w:r>
        <w:rPr>
          <w:rFonts w:eastAsia="SimHei"/>
        </w:rPr>
        <w:fldChar w:fldCharType="separate"/>
      </w:r>
      <w:r w:rsidR="00E74948">
        <w:rPr>
          <w:rFonts w:eastAsia="SimHei"/>
        </w:rPr>
        <w:object w:dxaOrig="11707" w:dyaOrig="6133" w14:anchorId="4A911E97">
          <v:shape id="_x0000_i1037" type="#_x0000_t75" alt="Chart 2.11 Transfer payments and taxes as a percentage of gross income by household income quintile, Australia, 2009-10&#10;This chart shows transfer payments (received as cash), income taxes and production taxes as a proportion of gross household income by income quintiles for Australia in 2009-10. Taxes on income rise across the five household income quintiles, from around 0.4 per cent for the lowest income quintile to 20 per cent for the highest income quintile. In contrast, the taxes on production decline across the five household income quintiles, from 8 per cent for the highest income quintile to 19 per cent for the lowest income quintile. Transfer payments as a proportion of gross household income decline across the five income quintiles, from 59 per cent for the lower income quintile to 1 per cent for the highest income quintile.&#10;" style="width:438.9pt;height:230.55pt">
            <v:imagedata r:id="rId51" o:title=""/>
          </v:shape>
        </w:object>
      </w:r>
      <w:r>
        <w:rPr>
          <w:rFonts w:eastAsia="SimHei"/>
        </w:rPr>
        <w:fldChar w:fldCharType="end"/>
      </w:r>
    </w:p>
    <w:p w14:paraId="6631B5C6" w14:textId="07C6DDF4" w:rsidR="00425BA6" w:rsidRPr="000219CE" w:rsidRDefault="00425BA6" w:rsidP="000D0ADB">
      <w:pPr>
        <w:pStyle w:val="ChartandTableNote"/>
        <w:ind w:left="284"/>
      </w:pPr>
      <w:r w:rsidRPr="000219CE">
        <w:t xml:space="preserve">Note: Taxes on income include </w:t>
      </w:r>
      <w:proofErr w:type="gramStart"/>
      <w:r w:rsidR="00A21E2D" w:rsidRPr="000219CE">
        <w:t>individuals</w:t>
      </w:r>
      <w:proofErr w:type="gramEnd"/>
      <w:r w:rsidRPr="000219CE">
        <w:t xml:space="preserve"> income tax plus the Medicare levy and Medicare levy surcharge. </w:t>
      </w:r>
      <w:r w:rsidRPr="00FA5FAF">
        <w:t xml:space="preserve">Taxes on production include taxes payable on </w:t>
      </w:r>
      <w:r w:rsidRPr="00412FB5">
        <w:t>goods and services; taxes and duties on imports; and taxes on the ownership or use of land, buildings or other assets used in production or on labour</w:t>
      </w:r>
      <w:r w:rsidR="002A215A" w:rsidRPr="00412FB5">
        <w:t xml:space="preserve"> (but not taxes on corporate profits or other business income)</w:t>
      </w:r>
      <w:r w:rsidRPr="00412FB5">
        <w:t xml:space="preserve">. Transfer payments and taxes are expressed as a percentage of household gross income, which is before income tax and includes social assistance benefits </w:t>
      </w:r>
      <w:r w:rsidR="002A215A" w:rsidRPr="00412FB5">
        <w:t xml:space="preserve">received </w:t>
      </w:r>
      <w:r w:rsidRPr="00412FB5">
        <w:t xml:space="preserve">in cash. Household quintiles are defined according to </w:t>
      </w:r>
      <w:r w:rsidR="00AD3ADF" w:rsidRPr="00412FB5">
        <w:t>equivalised</w:t>
      </w:r>
      <w:r w:rsidR="00AD3ADF" w:rsidRPr="00282CFF">
        <w:t xml:space="preserve"> disposable</w:t>
      </w:r>
      <w:r w:rsidRPr="000219CE">
        <w:t xml:space="preserve"> household income.</w:t>
      </w:r>
    </w:p>
    <w:p w14:paraId="1F7F9203" w14:textId="386AFC30" w:rsidR="00840644" w:rsidRPr="000219CE" w:rsidRDefault="00840644" w:rsidP="000D0ADB">
      <w:pPr>
        <w:pStyle w:val="ChartandTableNote"/>
        <w:ind w:left="284"/>
      </w:pPr>
      <w:r w:rsidRPr="000219CE">
        <w:t xml:space="preserve">Source: </w:t>
      </w:r>
      <w:r w:rsidR="003F290D" w:rsidRPr="000219CE">
        <w:t xml:space="preserve">Treasury calculations using </w:t>
      </w:r>
      <w:r w:rsidR="000A7C17" w:rsidRPr="000219CE">
        <w:t xml:space="preserve">ABS </w:t>
      </w:r>
      <w:r w:rsidR="003F290D" w:rsidRPr="000219CE">
        <w:t>2012</w:t>
      </w:r>
      <w:r w:rsidR="009F24C3" w:rsidRPr="000219CE">
        <w:t>,</w:t>
      </w:r>
      <w:r w:rsidR="00E62208" w:rsidRPr="000219CE">
        <w:t xml:space="preserve"> </w:t>
      </w:r>
      <w:r w:rsidR="003F290D" w:rsidRPr="000219CE">
        <w:rPr>
          <w:i/>
        </w:rPr>
        <w:t>Government benefits, taxes and household income, Australia, 2009</w:t>
      </w:r>
      <w:r w:rsidR="00E53472">
        <w:rPr>
          <w:i/>
        </w:rPr>
        <w:noBreakHyphen/>
      </w:r>
      <w:r w:rsidR="003F290D" w:rsidRPr="000219CE">
        <w:rPr>
          <w:i/>
        </w:rPr>
        <w:t>10</w:t>
      </w:r>
      <w:r w:rsidR="003F290D" w:rsidRPr="000219CE">
        <w:t xml:space="preserve">, </w:t>
      </w:r>
      <w:r w:rsidR="000A7C17" w:rsidRPr="000219CE">
        <w:t>cat. </w:t>
      </w:r>
      <w:proofErr w:type="gramStart"/>
      <w:r w:rsidR="000A7C17" w:rsidRPr="000219CE">
        <w:t>no</w:t>
      </w:r>
      <w:proofErr w:type="gramEnd"/>
      <w:r w:rsidR="000A7C17" w:rsidRPr="000219CE">
        <w:t>.</w:t>
      </w:r>
      <w:r w:rsidR="003F290D" w:rsidRPr="000219CE">
        <w:t> </w:t>
      </w:r>
      <w:r w:rsidRPr="000219CE">
        <w:t>6537</w:t>
      </w:r>
      <w:r w:rsidR="00E62208" w:rsidRPr="000219CE">
        <w:t>.0</w:t>
      </w:r>
      <w:r w:rsidR="003F290D" w:rsidRPr="000219CE">
        <w:t xml:space="preserve">, </w:t>
      </w:r>
      <w:r w:rsidR="000A7C17" w:rsidRPr="000219CE">
        <w:t>ABS</w:t>
      </w:r>
      <w:r w:rsidR="003F290D" w:rsidRPr="000219CE">
        <w:t>, Canberra</w:t>
      </w:r>
      <w:r w:rsidR="00E62208" w:rsidRPr="000219CE">
        <w:t>.</w:t>
      </w:r>
    </w:p>
    <w:p w14:paraId="4D6365BF" w14:textId="77777777" w:rsidR="007845DE" w:rsidRPr="000219CE" w:rsidRDefault="007845DE" w:rsidP="000D0ADB"/>
    <w:p w14:paraId="18F74DF4" w14:textId="44AD58EB" w:rsidR="00A556C0" w:rsidRPr="000219CE" w:rsidRDefault="00A556C0" w:rsidP="00457D02">
      <w:pPr>
        <w:rPr>
          <w:rFonts w:eastAsia="SimHei"/>
        </w:rPr>
      </w:pPr>
      <w:r w:rsidRPr="000219CE">
        <w:rPr>
          <w:rFonts w:eastAsia="SimHei"/>
        </w:rPr>
        <w:lastRenderedPageBreak/>
        <w:t xml:space="preserve">Progressivity is also illustrated by the </w:t>
      </w:r>
      <w:r w:rsidR="00E53472">
        <w:rPr>
          <w:rFonts w:eastAsia="SimHei"/>
        </w:rPr>
        <w:t>‘</w:t>
      </w:r>
      <w:r w:rsidRPr="000219CE">
        <w:rPr>
          <w:rFonts w:eastAsia="SimHei"/>
        </w:rPr>
        <w:t>tax wedge</w:t>
      </w:r>
      <w:r w:rsidR="00E53472">
        <w:rPr>
          <w:rFonts w:eastAsia="SimHei"/>
        </w:rPr>
        <w:t>’</w:t>
      </w:r>
      <w:r w:rsidRPr="000219CE">
        <w:rPr>
          <w:rFonts w:eastAsia="SimHei"/>
        </w:rPr>
        <w:t xml:space="preserve"> for different households, where the tax wedge is the difference between the labour costs to an employer (effectively the </w:t>
      </w:r>
      <w:r w:rsidR="00E53472">
        <w:rPr>
          <w:rFonts w:eastAsia="SimHei"/>
        </w:rPr>
        <w:t>‘</w:t>
      </w:r>
      <w:r w:rsidRPr="000219CE">
        <w:rPr>
          <w:rFonts w:eastAsia="SimHei"/>
        </w:rPr>
        <w:t>pre</w:t>
      </w:r>
      <w:r w:rsidR="00E53472">
        <w:rPr>
          <w:rFonts w:eastAsia="SimHei"/>
        </w:rPr>
        <w:noBreakHyphen/>
      </w:r>
      <w:r w:rsidRPr="000219CE">
        <w:rPr>
          <w:rFonts w:eastAsia="SimHei"/>
        </w:rPr>
        <w:t>tax</w:t>
      </w:r>
      <w:r w:rsidR="00E53472">
        <w:rPr>
          <w:rFonts w:eastAsia="SimHei"/>
        </w:rPr>
        <w:t>’</w:t>
      </w:r>
      <w:r w:rsidRPr="000219CE">
        <w:rPr>
          <w:rFonts w:eastAsia="SimHei"/>
        </w:rPr>
        <w:t xml:space="preserve"> wage) and the household</w:t>
      </w:r>
      <w:r w:rsidR="00E53472">
        <w:rPr>
          <w:rFonts w:eastAsia="SimHei"/>
        </w:rPr>
        <w:t>’</w:t>
      </w:r>
      <w:r w:rsidRPr="000219CE">
        <w:rPr>
          <w:rFonts w:eastAsia="SimHei"/>
        </w:rPr>
        <w:t>s net take</w:t>
      </w:r>
      <w:r w:rsidR="00E53472">
        <w:rPr>
          <w:rFonts w:eastAsia="SimHei"/>
        </w:rPr>
        <w:noBreakHyphen/>
      </w:r>
      <w:r w:rsidRPr="000219CE">
        <w:rPr>
          <w:rFonts w:eastAsia="SimHei"/>
        </w:rPr>
        <w:t>home pay (after subtracting tax and adding transfer payments). In Australia, the tax wedge is low at low levels of income, reflect</w:t>
      </w:r>
      <w:r w:rsidR="00431094" w:rsidRPr="000219CE">
        <w:rPr>
          <w:rFonts w:eastAsia="SimHei"/>
        </w:rPr>
        <w:t>ing</w:t>
      </w:r>
      <w:r w:rsidRPr="000219CE">
        <w:rPr>
          <w:rFonts w:eastAsia="SimHei"/>
        </w:rPr>
        <w:t xml:space="preserve"> low tax rates and any transfer payments received. As household incomes increase, the tax wedge becomes larger, reflect</w:t>
      </w:r>
      <w:r w:rsidR="00431094" w:rsidRPr="000219CE">
        <w:rPr>
          <w:rFonts w:eastAsia="SimHei"/>
        </w:rPr>
        <w:t>ing</w:t>
      </w:r>
      <w:r w:rsidRPr="000219CE">
        <w:rPr>
          <w:rFonts w:eastAsia="SimHei"/>
        </w:rPr>
        <w:t xml:space="preserve"> the imposition of higher rates of tax</w:t>
      </w:r>
      <w:r w:rsidR="00EE5E42" w:rsidRPr="000219CE">
        <w:rPr>
          <w:rFonts w:eastAsia="SimHei"/>
        </w:rPr>
        <w:t xml:space="preserve"> and the withdrawal of transfer </w:t>
      </w:r>
      <w:r w:rsidRPr="000219CE">
        <w:rPr>
          <w:rFonts w:eastAsia="SimHei"/>
        </w:rPr>
        <w:t>payments.</w:t>
      </w:r>
    </w:p>
    <w:p w14:paraId="40A83A1A" w14:textId="450E3EA4" w:rsidR="00753DC9" w:rsidRPr="000219CE" w:rsidRDefault="006C54B3" w:rsidP="00457D02">
      <w:pPr>
        <w:rPr>
          <w:rFonts w:eastAsia="SimHei"/>
        </w:rPr>
      </w:pPr>
      <w:r w:rsidRPr="000219CE">
        <w:rPr>
          <w:rFonts w:eastAsia="SimHei"/>
        </w:rPr>
        <w:t xml:space="preserve">Chart </w:t>
      </w:r>
      <w:r w:rsidR="00E97F32" w:rsidRPr="000219CE">
        <w:rPr>
          <w:rFonts w:eastAsia="SimHei"/>
        </w:rPr>
        <w:t>2</w:t>
      </w:r>
      <w:r w:rsidR="00FD2CE6">
        <w:rPr>
          <w:rFonts w:eastAsia="SimHei"/>
        </w:rPr>
        <w:t>.1</w:t>
      </w:r>
      <w:r w:rsidR="00DA3F43">
        <w:rPr>
          <w:rFonts w:eastAsia="SimHei"/>
        </w:rPr>
        <w:t>2</w:t>
      </w:r>
      <w:r w:rsidR="00B9396C" w:rsidRPr="000219CE">
        <w:rPr>
          <w:rFonts w:eastAsia="SimHei"/>
        </w:rPr>
        <w:t xml:space="preserve"> shows </w:t>
      </w:r>
      <w:r w:rsidR="003C4B0E" w:rsidRPr="000219CE">
        <w:rPr>
          <w:rFonts w:eastAsia="SimHei"/>
        </w:rPr>
        <w:t>that</w:t>
      </w:r>
      <w:r w:rsidR="00B9396C" w:rsidRPr="000219CE">
        <w:rPr>
          <w:rFonts w:eastAsia="SimHei"/>
        </w:rPr>
        <w:t xml:space="preserve"> the increase in the tax wedge between a low</w:t>
      </w:r>
      <w:r w:rsidR="00E53472">
        <w:rPr>
          <w:rFonts w:eastAsia="SimHei"/>
        </w:rPr>
        <w:noBreakHyphen/>
      </w:r>
      <w:r w:rsidR="00B9396C" w:rsidRPr="000219CE">
        <w:rPr>
          <w:rFonts w:eastAsia="SimHei"/>
        </w:rPr>
        <w:t>income household and a high</w:t>
      </w:r>
      <w:r w:rsidR="00E53472">
        <w:rPr>
          <w:rFonts w:eastAsia="SimHei"/>
        </w:rPr>
        <w:noBreakHyphen/>
      </w:r>
      <w:r w:rsidR="00B9396C" w:rsidRPr="000219CE">
        <w:rPr>
          <w:rFonts w:eastAsia="SimHei"/>
        </w:rPr>
        <w:t xml:space="preserve">income household </w:t>
      </w:r>
      <w:r w:rsidR="00431094" w:rsidRPr="000219CE">
        <w:rPr>
          <w:rFonts w:eastAsia="SimHei"/>
        </w:rPr>
        <w:t xml:space="preserve">(the </w:t>
      </w:r>
      <w:r w:rsidR="00E53472">
        <w:rPr>
          <w:rFonts w:eastAsia="SimHei"/>
        </w:rPr>
        <w:t>‘</w:t>
      </w:r>
      <w:r w:rsidR="00431094" w:rsidRPr="000219CE">
        <w:rPr>
          <w:rFonts w:eastAsia="SimHei"/>
        </w:rPr>
        <w:t>tax wedge progression</w:t>
      </w:r>
      <w:r w:rsidR="00E53472">
        <w:rPr>
          <w:rFonts w:eastAsia="SimHei"/>
        </w:rPr>
        <w:t>’</w:t>
      </w:r>
      <w:r w:rsidR="00431094" w:rsidRPr="000219CE">
        <w:rPr>
          <w:rFonts w:eastAsia="SimHei"/>
        </w:rPr>
        <w:t xml:space="preserve">) </w:t>
      </w:r>
      <w:r w:rsidR="00B9396C" w:rsidRPr="000219CE">
        <w:rPr>
          <w:rFonts w:eastAsia="SimHei"/>
        </w:rPr>
        <w:t>is much higher in Australia than the OECD average</w:t>
      </w:r>
      <w:r w:rsidR="00CD21C2" w:rsidRPr="000219CE">
        <w:rPr>
          <w:rFonts w:eastAsia="SimHei"/>
        </w:rPr>
        <w:t>. The tax wedge progression for a single person with no dependants is high</w:t>
      </w:r>
      <w:r w:rsidR="00431094" w:rsidRPr="000219CE">
        <w:rPr>
          <w:rFonts w:eastAsia="SimHei"/>
        </w:rPr>
        <w:t xml:space="preserve"> in</w:t>
      </w:r>
      <w:r w:rsidR="00EE5E42" w:rsidRPr="000219CE">
        <w:rPr>
          <w:rFonts w:eastAsia="SimHei"/>
        </w:rPr>
        <w:t> </w:t>
      </w:r>
      <w:r w:rsidR="00431094" w:rsidRPr="000219CE">
        <w:rPr>
          <w:rFonts w:eastAsia="SimHei"/>
        </w:rPr>
        <w:t>Australia</w:t>
      </w:r>
      <w:r w:rsidR="00CD21C2" w:rsidRPr="000219CE">
        <w:rPr>
          <w:rFonts w:eastAsia="SimHei"/>
        </w:rPr>
        <w:t xml:space="preserve">, which demonstrates the progressivity of the </w:t>
      </w:r>
      <w:proofErr w:type="gramStart"/>
      <w:r w:rsidR="00A21E2D" w:rsidRPr="000219CE">
        <w:rPr>
          <w:rFonts w:eastAsia="SimHei"/>
        </w:rPr>
        <w:t>individuals</w:t>
      </w:r>
      <w:proofErr w:type="gramEnd"/>
      <w:r w:rsidR="00CD21C2" w:rsidRPr="000219CE">
        <w:rPr>
          <w:rFonts w:eastAsia="SimHei"/>
        </w:rPr>
        <w:t xml:space="preserve"> income tax system</w:t>
      </w:r>
      <w:r w:rsidR="00EE5E42" w:rsidRPr="000219CE">
        <w:rPr>
          <w:rFonts w:eastAsia="SimHei"/>
        </w:rPr>
        <w:t xml:space="preserve"> </w:t>
      </w:r>
      <w:r w:rsidR="00657D78" w:rsidRPr="000219CE">
        <w:rPr>
          <w:rFonts w:eastAsia="SimHei"/>
        </w:rPr>
        <w:t>(</w:t>
      </w:r>
      <w:r w:rsidR="00431094" w:rsidRPr="000219CE">
        <w:rPr>
          <w:rFonts w:eastAsia="SimHei"/>
        </w:rPr>
        <w:t>C</w:t>
      </w:r>
      <w:r w:rsidR="00EE5E42" w:rsidRPr="000219CE">
        <w:rPr>
          <w:rFonts w:eastAsia="SimHei"/>
        </w:rPr>
        <w:t>hart </w:t>
      </w:r>
      <w:r w:rsidR="00E97F32" w:rsidRPr="000219CE">
        <w:rPr>
          <w:rFonts w:eastAsia="SimHei"/>
        </w:rPr>
        <w:t>2</w:t>
      </w:r>
      <w:r w:rsidR="00DA3F43">
        <w:rPr>
          <w:rFonts w:eastAsia="SimHei"/>
        </w:rPr>
        <w:t>.12</w:t>
      </w:r>
      <w:r w:rsidR="00280A9E" w:rsidRPr="000219CE">
        <w:rPr>
          <w:rFonts w:eastAsia="SimHei"/>
        </w:rPr>
        <w:t>, top chart</w:t>
      </w:r>
      <w:r w:rsidR="00657D78" w:rsidRPr="000219CE">
        <w:rPr>
          <w:rFonts w:eastAsia="SimHei"/>
        </w:rPr>
        <w:t>)</w:t>
      </w:r>
      <w:r w:rsidR="00CD21C2" w:rsidRPr="000219CE">
        <w:rPr>
          <w:rFonts w:eastAsia="SimHei"/>
        </w:rPr>
        <w:t xml:space="preserve">. Countries with lower tax wedge progression have flatter tax schedules. </w:t>
      </w:r>
      <w:r w:rsidR="00657D78" w:rsidRPr="000219CE">
        <w:rPr>
          <w:rFonts w:eastAsia="SimHei"/>
        </w:rPr>
        <w:t>Unlike some European countries that have universal payments for families with children, assistance in Australia is targeted, leading to an even higher tax wedge progression for families with children (</w:t>
      </w:r>
      <w:r w:rsidR="00431094" w:rsidRPr="000219CE">
        <w:rPr>
          <w:rFonts w:eastAsia="SimHei"/>
        </w:rPr>
        <w:t>C</w:t>
      </w:r>
      <w:r w:rsidR="00657D78" w:rsidRPr="000219CE">
        <w:rPr>
          <w:rFonts w:eastAsia="SimHei"/>
        </w:rPr>
        <w:t xml:space="preserve">hart </w:t>
      </w:r>
      <w:r w:rsidR="00E97F32" w:rsidRPr="000219CE">
        <w:rPr>
          <w:rFonts w:eastAsia="SimHei"/>
        </w:rPr>
        <w:t>2</w:t>
      </w:r>
      <w:r w:rsidR="00483800" w:rsidRPr="000219CE">
        <w:rPr>
          <w:rFonts w:eastAsia="SimHei"/>
        </w:rPr>
        <w:t>.1</w:t>
      </w:r>
      <w:r w:rsidR="00DA3F43">
        <w:rPr>
          <w:rFonts w:eastAsia="SimHei"/>
        </w:rPr>
        <w:t>2</w:t>
      </w:r>
      <w:r w:rsidR="00483800" w:rsidRPr="000219CE">
        <w:rPr>
          <w:rFonts w:eastAsia="SimHei"/>
        </w:rPr>
        <w:t>, bottom chart</w:t>
      </w:r>
      <w:r w:rsidR="00657D78" w:rsidRPr="000219CE">
        <w:rPr>
          <w:rFonts w:eastAsia="SimHei"/>
        </w:rPr>
        <w:t>)</w:t>
      </w:r>
      <w:r w:rsidR="00AC472D" w:rsidRPr="000219CE">
        <w:rPr>
          <w:rFonts w:eastAsia="SimHei"/>
        </w:rPr>
        <w:t>.</w:t>
      </w:r>
    </w:p>
    <w:p w14:paraId="71029D40" w14:textId="0567AF92" w:rsidR="00753DC9" w:rsidRPr="000219CE" w:rsidRDefault="00753DC9" w:rsidP="00753DC9">
      <w:pPr>
        <w:rPr>
          <w:rFonts w:eastAsia="SimHei"/>
        </w:rPr>
      </w:pPr>
      <w:r w:rsidRPr="000219CE">
        <w:rPr>
          <w:rFonts w:eastAsia="SimHei"/>
        </w:rPr>
        <w:t>The progressivity of Australia</w:t>
      </w:r>
      <w:r w:rsidR="00E53472">
        <w:rPr>
          <w:rFonts w:eastAsia="SimHei"/>
        </w:rPr>
        <w:t>’</w:t>
      </w:r>
      <w:r w:rsidRPr="000219CE">
        <w:rPr>
          <w:rFonts w:eastAsia="SimHei"/>
        </w:rPr>
        <w:t xml:space="preserve">s tax system is a consequence of increasing </w:t>
      </w:r>
      <w:proofErr w:type="gramStart"/>
      <w:r w:rsidR="00A21E2D" w:rsidRPr="000219CE">
        <w:rPr>
          <w:rFonts w:eastAsia="SimHei"/>
        </w:rPr>
        <w:t>individuals</w:t>
      </w:r>
      <w:proofErr w:type="gramEnd"/>
      <w:r w:rsidRPr="000219CE">
        <w:rPr>
          <w:rFonts w:eastAsia="SimHei"/>
        </w:rPr>
        <w:t xml:space="preserve"> tax rates as incomes rise and the absence of flat</w:t>
      </w:r>
      <w:r w:rsidR="00E53472">
        <w:rPr>
          <w:rFonts w:eastAsia="SimHei"/>
        </w:rPr>
        <w:noBreakHyphen/>
      </w:r>
      <w:r w:rsidRPr="000219CE">
        <w:rPr>
          <w:rFonts w:eastAsia="SimHei"/>
        </w:rPr>
        <w:t>rate social security contributions (which are levied in many other countries).</w:t>
      </w:r>
    </w:p>
    <w:p w14:paraId="556C5261" w14:textId="410DE5E5" w:rsidR="001F27A9" w:rsidRPr="000219CE" w:rsidRDefault="00753DC9" w:rsidP="00753DC9">
      <w:pPr>
        <w:rPr>
          <w:rFonts w:eastAsia="SimHei"/>
        </w:rPr>
      </w:pPr>
      <w:r w:rsidRPr="000219CE">
        <w:rPr>
          <w:rFonts w:eastAsia="SimHei"/>
        </w:rPr>
        <w:t>The tax system also provides that individuals earning below $20,542 do not pay any tax (taking into account the</w:t>
      </w:r>
      <w:r w:rsidR="00A53D9D">
        <w:rPr>
          <w:rFonts w:eastAsia="SimHei"/>
        </w:rPr>
        <w:t xml:space="preserve"> tax</w:t>
      </w:r>
      <w:r w:rsidR="00E53472">
        <w:rPr>
          <w:rFonts w:eastAsia="SimHei"/>
        </w:rPr>
        <w:noBreakHyphen/>
      </w:r>
      <w:r w:rsidR="00A53D9D">
        <w:rPr>
          <w:rFonts w:eastAsia="SimHei"/>
        </w:rPr>
        <w:t>free threshold and</w:t>
      </w:r>
      <w:r w:rsidRPr="000219CE">
        <w:rPr>
          <w:rFonts w:eastAsia="SimHei"/>
        </w:rPr>
        <w:t xml:space="preserve"> low</w:t>
      </w:r>
      <w:r w:rsidR="00E53472">
        <w:rPr>
          <w:rFonts w:eastAsia="SimHei"/>
        </w:rPr>
        <w:noBreakHyphen/>
      </w:r>
      <w:r w:rsidRPr="000219CE">
        <w:rPr>
          <w:rFonts w:eastAsia="SimHei"/>
        </w:rPr>
        <w:t>income tax offset). Single seniors who receive the seniors and pensioners tax offset have an effective tax</w:t>
      </w:r>
      <w:r w:rsidR="00E53472">
        <w:rPr>
          <w:rFonts w:eastAsia="SimHei"/>
        </w:rPr>
        <w:noBreakHyphen/>
      </w:r>
      <w:r w:rsidRPr="000219CE">
        <w:rPr>
          <w:rFonts w:eastAsia="SimHei"/>
        </w:rPr>
        <w:t>free threshold of $32,279. This system means that the average tax burden in Australia is lower than other similar countries. A single average wage earner in Australia faces an average tax burden of 27</w:t>
      </w:r>
      <w:r w:rsidR="00E53472">
        <w:rPr>
          <w:rFonts w:eastAsia="SimHei"/>
        </w:rPr>
        <w:t> per </w:t>
      </w:r>
      <w:r w:rsidRPr="000219CE">
        <w:rPr>
          <w:rFonts w:eastAsia="SimHei"/>
        </w:rPr>
        <w:t>cent. In comparison, the average tax burden in Canada, the</w:t>
      </w:r>
      <w:r w:rsidR="00E53472">
        <w:rPr>
          <w:rFonts w:eastAsia="SimHei"/>
        </w:rPr>
        <w:t xml:space="preserve"> UK and the US is around 31 per </w:t>
      </w:r>
      <w:r w:rsidRPr="000219CE">
        <w:rPr>
          <w:rFonts w:eastAsia="SimHei"/>
        </w:rPr>
        <w:t>cent.</w:t>
      </w:r>
      <w:r w:rsidRPr="000219CE">
        <w:rPr>
          <w:rStyle w:val="FootnoteReference"/>
        </w:rPr>
        <w:footnoteReference w:id="20"/>
      </w:r>
      <w:r w:rsidR="00AC472D" w:rsidRPr="000219CE">
        <w:rPr>
          <w:rFonts w:eastAsia="SimHei"/>
        </w:rPr>
        <w:t xml:space="preserve"> </w:t>
      </w:r>
    </w:p>
    <w:p w14:paraId="5DE9A0ED" w14:textId="2CA0C897" w:rsidR="00753DC9" w:rsidRPr="000219CE" w:rsidRDefault="00753DC9" w:rsidP="00753DC9">
      <w:pPr>
        <w:rPr>
          <w:rFonts w:eastAsia="SimHei"/>
        </w:rPr>
      </w:pPr>
      <w:r w:rsidRPr="000219CE">
        <w:rPr>
          <w:rFonts w:eastAsia="SimHei"/>
        </w:rPr>
        <w:t>Many jurisdictions apply a flat</w:t>
      </w:r>
      <w:r w:rsidR="00E53472">
        <w:rPr>
          <w:rFonts w:eastAsia="SimHei"/>
        </w:rPr>
        <w:noBreakHyphen/>
      </w:r>
      <w:r w:rsidRPr="000219CE">
        <w:rPr>
          <w:rFonts w:eastAsia="SimHei"/>
        </w:rPr>
        <w:t>rate social security contribution, levied on an employee</w:t>
      </w:r>
      <w:r w:rsidR="00E53472">
        <w:rPr>
          <w:rFonts w:eastAsia="SimHei"/>
        </w:rPr>
        <w:t>’</w:t>
      </w:r>
      <w:r w:rsidRPr="000219CE">
        <w:rPr>
          <w:rFonts w:eastAsia="SimHei"/>
        </w:rPr>
        <w:t>s wages, that is notionally allocated to pay for unemployment and aged care allowances over a person</w:t>
      </w:r>
      <w:r w:rsidR="00E53472">
        <w:rPr>
          <w:rFonts w:eastAsia="SimHei"/>
        </w:rPr>
        <w:t>’</w:t>
      </w:r>
      <w:r w:rsidRPr="000219CE">
        <w:rPr>
          <w:rFonts w:eastAsia="SimHei"/>
        </w:rPr>
        <w:t>s lifetime. Social security contributions, as a flat rate tax, have a greater impact on the discretionary spending options of low income earners. Australia does not apply a separate social security contribution. Instead, pension costs are funded from Australia</w:t>
      </w:r>
      <w:r w:rsidR="00E53472">
        <w:rPr>
          <w:rFonts w:eastAsia="SimHei"/>
        </w:rPr>
        <w:t>’</w:t>
      </w:r>
      <w:r w:rsidRPr="000219CE">
        <w:rPr>
          <w:rFonts w:eastAsia="SimHei"/>
        </w:rPr>
        <w:t>s main revenue stream and supplemented by the private superannuation system.</w:t>
      </w:r>
    </w:p>
    <w:p w14:paraId="035EB5A7" w14:textId="69A06DD2" w:rsidR="00EF7233" w:rsidRPr="000219CE" w:rsidRDefault="007B4589" w:rsidP="007B4589">
      <w:pPr>
        <w:pStyle w:val="ChartMainHeading"/>
        <w:rPr>
          <w:rFonts w:eastAsia="SimHei"/>
          <w:lang w:eastAsia="en-US"/>
        </w:rPr>
      </w:pPr>
      <w:proofErr w:type="gramStart"/>
      <w:r w:rsidRPr="000219CE">
        <w:lastRenderedPageBreak/>
        <w:t xml:space="preserve">Chart </w:t>
      </w:r>
      <w:fldSimple w:instr=" STYLEREF 1 \s ">
        <w:r w:rsidR="0068169D">
          <w:rPr>
            <w:noProof/>
          </w:rPr>
          <w:t>2</w:t>
        </w:r>
      </w:fldSimple>
      <w:r w:rsidRPr="000219CE">
        <w:t>.</w:t>
      </w:r>
      <w:proofErr w:type="gramEnd"/>
      <w:r w:rsidR="0068169D">
        <w:fldChar w:fldCharType="begin"/>
      </w:r>
      <w:r w:rsidR="0068169D">
        <w:instrText xml:space="preserve"> SEQ Chart \* ARABIC \s 1 </w:instrText>
      </w:r>
      <w:r w:rsidR="0068169D">
        <w:fldChar w:fldCharType="separate"/>
      </w:r>
      <w:r w:rsidR="0068169D">
        <w:rPr>
          <w:noProof/>
        </w:rPr>
        <w:t>12</w:t>
      </w:r>
      <w:r w:rsidR="0068169D">
        <w:rPr>
          <w:noProof/>
        </w:rPr>
        <w:fldChar w:fldCharType="end"/>
      </w:r>
      <w:r w:rsidR="0049280F" w:rsidRPr="000219CE">
        <w:rPr>
          <w:rFonts w:eastAsia="SimHei"/>
          <w:lang w:eastAsia="en-US"/>
        </w:rPr>
        <w:t xml:space="preserve"> </w:t>
      </w:r>
      <w:r w:rsidR="003547E9" w:rsidRPr="000219CE">
        <w:rPr>
          <w:rFonts w:eastAsia="SimHei"/>
          <w:lang w:eastAsia="en-US"/>
        </w:rPr>
        <w:t>A</w:t>
      </w:r>
      <w:r w:rsidR="0049280F" w:rsidRPr="000219CE">
        <w:rPr>
          <w:rFonts w:eastAsia="SimHei"/>
          <w:lang w:eastAsia="en-US"/>
        </w:rPr>
        <w:t xml:space="preserve">verage tax wedge progression, </w:t>
      </w:r>
      <w:r w:rsidR="003547E9" w:rsidRPr="000219CE">
        <w:rPr>
          <w:rFonts w:eastAsia="SimHei"/>
          <w:lang w:eastAsia="en-US"/>
        </w:rPr>
        <w:t xml:space="preserve">OECD countries, </w:t>
      </w:r>
      <w:r w:rsidR="0049280F" w:rsidRPr="000219CE">
        <w:rPr>
          <w:rFonts w:eastAsia="SimHei"/>
          <w:lang w:eastAsia="en-US"/>
        </w:rPr>
        <w:t>2013</w:t>
      </w:r>
    </w:p>
    <w:p w14:paraId="5F2FF48C" w14:textId="789352F7" w:rsidR="00BA1AAB" w:rsidRPr="000219CE" w:rsidRDefault="00753DC9" w:rsidP="0088201A">
      <w:pPr>
        <w:pStyle w:val="ChartGraphic"/>
        <w:rPr>
          <w:rFonts w:eastAsia="SimHei"/>
          <w:lang w:eastAsia="en-US"/>
        </w:rPr>
      </w:pPr>
      <w:r w:rsidRPr="000219CE">
        <w:rPr>
          <w:rFonts w:eastAsia="SimHei"/>
          <w:lang w:eastAsia="en-US"/>
        </w:rPr>
        <w:fldChar w:fldCharType="begin" w:fldLock="1"/>
      </w:r>
      <w:r w:rsidRPr="000219CE">
        <w:rPr>
          <w:rFonts w:eastAsia="SimHei"/>
          <w:lang w:eastAsia="en-US"/>
        </w:rPr>
        <w:instrText xml:space="preserve"> LINK Excel.Sheet.12 "" "" \a \p </w:instrText>
      </w:r>
      <w:r w:rsidR="00A721DC" w:rsidRPr="000219CE">
        <w:rPr>
          <w:rFonts w:eastAsia="SimHei"/>
          <w:lang w:eastAsia="en-US"/>
        </w:rPr>
        <w:instrText xml:space="preserve"> \* MERGEFORMAT </w:instrText>
      </w:r>
      <w:r w:rsidRPr="000219CE">
        <w:rPr>
          <w:rFonts w:eastAsia="SimHei"/>
          <w:lang w:eastAsia="en-US"/>
        </w:rPr>
        <w:fldChar w:fldCharType="separate"/>
      </w:r>
      <w:bookmarkStart w:id="185" w:name="_1488352147"/>
      <w:bookmarkStart w:id="186" w:name="_1486291933"/>
      <w:bookmarkStart w:id="187" w:name="_1484576389"/>
      <w:bookmarkStart w:id="188" w:name="_1484576208"/>
      <w:bookmarkStart w:id="189" w:name="_1487161897"/>
      <w:bookmarkStart w:id="190" w:name="_1488364436"/>
      <w:bookmarkEnd w:id="185"/>
      <w:bookmarkEnd w:id="186"/>
      <w:bookmarkEnd w:id="187"/>
      <w:bookmarkEnd w:id="188"/>
      <w:bookmarkEnd w:id="189"/>
      <w:bookmarkEnd w:id="190"/>
      <w:r w:rsidR="00AF5B02">
        <w:rPr>
          <w:rFonts w:eastAsia="SimHei"/>
          <w:lang w:eastAsia="en-US"/>
        </w:rPr>
        <w:object w:dxaOrig="8775" w:dyaOrig="3870" w14:anchorId="412FAC62">
          <v:shape id="_x0000_i1038" type="#_x0000_t75" alt="Chart 2.12 Average tax wedge progression, OECD countries, 2013&#10;Single individual without children.&#10;There are two charts, each of which shows the change in the average tax wedge for 34 OECD countries as a household’s income increases from 50 per cent of average wages to 250 per cent of average wages for 2013. The first chart applies to the change in the tax wedge for a single person with no children, and shows that Australia has the sixth largest tax wedge progression. The second chart applies to the change in the tax wedge for a single -income family with two children, and shows that Australia has the third largest tax wedge progression.&#10;" style="width:438.9pt;height:194.55pt" o:ole="">
            <v:imagedata r:id="rId52" o:title=""/>
          </v:shape>
          <o:OLEObject Type="Link" ProgID="Excel.Sheet.12" ShapeID="_x0000_i1038" DrawAspect="Content" r:id="rId53" UpdateMode="Always">
            <o:LinkType>EnhancedMetaFile</o:LinkType>
            <o:LockedField>false</o:LockedField>
          </o:OLEObject>
        </w:object>
      </w:r>
      <w:r w:rsidRPr="000219CE">
        <w:rPr>
          <w:rFonts w:eastAsia="SimHei"/>
          <w:lang w:eastAsia="en-US"/>
        </w:rPr>
        <w:fldChar w:fldCharType="end"/>
      </w:r>
    </w:p>
    <w:bookmarkStart w:id="191" w:name="_1484576211"/>
    <w:bookmarkStart w:id="192" w:name="_1484576391"/>
    <w:bookmarkStart w:id="193" w:name="_1486291934"/>
    <w:bookmarkStart w:id="194" w:name="_1487161900"/>
    <w:bookmarkStart w:id="195" w:name="_1488352148"/>
    <w:bookmarkStart w:id="196" w:name="_1488364437"/>
    <w:bookmarkEnd w:id="191"/>
    <w:bookmarkEnd w:id="192"/>
    <w:bookmarkEnd w:id="193"/>
    <w:bookmarkEnd w:id="194"/>
    <w:bookmarkEnd w:id="195"/>
    <w:bookmarkEnd w:id="196"/>
    <w:p w14:paraId="13A12246" w14:textId="7CC597E2" w:rsidR="008166F3" w:rsidRPr="000219CE" w:rsidRDefault="00AF5B02" w:rsidP="0088201A">
      <w:pPr>
        <w:pStyle w:val="ChartGraphic"/>
        <w:rPr>
          <w:rFonts w:eastAsia="SimHei"/>
          <w:lang w:eastAsia="en-US"/>
        </w:rPr>
      </w:pPr>
      <w:r>
        <w:rPr>
          <w:rFonts w:eastAsia="SimHei"/>
          <w:lang w:eastAsia="en-US"/>
        </w:rPr>
        <w:object w:dxaOrig="8775" w:dyaOrig="3870" w14:anchorId="68F8EBF4">
          <v:shape id="_x0000_i1039" type="#_x0000_t75" alt="Chart 2.12 Average tax wedge progression, OECD countries, 2013&#10;Single-income family with two children.&#10;There are two charts, each of which shows the change in the average tax wedge for 34 OECD countries as a household’s income increases from 50 per cent of average wages to 250 per cent of average wages for 2013. The first chart applies to the change in the tax wedge for a single person with no children, and shows that Australia has the sixth largest tax wedge progression. The second chart applies to the change in the tax wedge for a single -income family with two children, and shows that Australia has the third largest tax wedge progression.&#10;" style="width:438.9pt;height:194.55pt" o:ole="">
            <v:imagedata r:id="rId54" o:title=""/>
          </v:shape>
          <o:OLEObject Type="Link" ProgID="Excel.Sheet.12" ShapeID="_x0000_i1039" DrawAspect="Content" r:id="rId55" UpdateMode="Always">
            <o:LinkType>EnhancedMetaFile</o:LinkType>
            <o:LockedField/>
          </o:OLEObject>
        </w:object>
      </w:r>
    </w:p>
    <w:p w14:paraId="567621C7" w14:textId="2B1917AE" w:rsidR="0049280F" w:rsidRPr="000219CE" w:rsidRDefault="0049280F" w:rsidP="000D0ADB">
      <w:pPr>
        <w:pStyle w:val="ChartandTableNote"/>
        <w:ind w:left="426"/>
        <w:rPr>
          <w:rFonts w:eastAsia="SimHei"/>
          <w:lang w:eastAsia="en-US"/>
        </w:rPr>
      </w:pPr>
      <w:r w:rsidRPr="000219CE">
        <w:rPr>
          <w:rFonts w:eastAsia="SimHei"/>
          <w:lang w:eastAsia="en-US"/>
        </w:rPr>
        <w:t>Note: The average tax wedge progression is the percentage point differen</w:t>
      </w:r>
      <w:r w:rsidR="00EF4B82" w:rsidRPr="000219CE">
        <w:rPr>
          <w:rFonts w:eastAsia="SimHei"/>
          <w:lang w:eastAsia="en-US"/>
        </w:rPr>
        <w:t>ce</w:t>
      </w:r>
      <w:r w:rsidRPr="000219CE">
        <w:rPr>
          <w:rFonts w:eastAsia="SimHei"/>
          <w:lang w:eastAsia="en-US"/>
        </w:rPr>
        <w:t xml:space="preserve"> </w:t>
      </w:r>
      <w:r w:rsidR="00EF4B82" w:rsidRPr="000219CE">
        <w:rPr>
          <w:rFonts w:eastAsia="SimHei"/>
          <w:lang w:eastAsia="en-US"/>
        </w:rPr>
        <w:t xml:space="preserve">between </w:t>
      </w:r>
      <w:r w:rsidRPr="000219CE">
        <w:rPr>
          <w:rFonts w:eastAsia="SimHei"/>
          <w:lang w:eastAsia="en-US"/>
        </w:rPr>
        <w:t xml:space="preserve">the average tax wedge of an individual </w:t>
      </w:r>
      <w:r w:rsidR="007A5255" w:rsidRPr="000219CE">
        <w:rPr>
          <w:rFonts w:eastAsia="SimHei"/>
          <w:lang w:eastAsia="en-US"/>
        </w:rPr>
        <w:t>(</w:t>
      </w:r>
      <w:r w:rsidRPr="000219CE">
        <w:rPr>
          <w:rFonts w:eastAsia="SimHei"/>
          <w:lang w:eastAsia="en-US"/>
        </w:rPr>
        <w:t>or family</w:t>
      </w:r>
      <w:r w:rsidR="007A5255" w:rsidRPr="000219CE">
        <w:rPr>
          <w:rFonts w:eastAsia="SimHei"/>
          <w:lang w:eastAsia="en-US"/>
        </w:rPr>
        <w:t>)</w:t>
      </w:r>
      <w:r w:rsidRPr="000219CE">
        <w:rPr>
          <w:rFonts w:eastAsia="SimHei"/>
          <w:lang w:eastAsia="en-US"/>
        </w:rPr>
        <w:t xml:space="preserve"> earning 250</w:t>
      </w:r>
      <w:r w:rsidR="00C26ECF" w:rsidRPr="000219CE">
        <w:rPr>
          <w:rFonts w:eastAsia="SimHei"/>
          <w:lang w:eastAsia="en-US"/>
        </w:rPr>
        <w:t xml:space="preserve"> per cent</w:t>
      </w:r>
      <w:r w:rsidRPr="000219CE">
        <w:rPr>
          <w:rFonts w:eastAsia="SimHei"/>
          <w:lang w:eastAsia="en-US"/>
        </w:rPr>
        <w:t xml:space="preserve"> of average wages </w:t>
      </w:r>
      <w:r w:rsidR="00EF4B82" w:rsidRPr="000219CE">
        <w:rPr>
          <w:rFonts w:eastAsia="SimHei"/>
          <w:lang w:eastAsia="en-US"/>
        </w:rPr>
        <w:t xml:space="preserve">and </w:t>
      </w:r>
      <w:r w:rsidRPr="000219CE">
        <w:rPr>
          <w:rFonts w:eastAsia="SimHei"/>
          <w:lang w:eastAsia="en-US"/>
        </w:rPr>
        <w:t xml:space="preserve">the average tax wedge of an individual </w:t>
      </w:r>
      <w:r w:rsidR="007A5255" w:rsidRPr="000219CE">
        <w:rPr>
          <w:rFonts w:eastAsia="SimHei"/>
          <w:lang w:eastAsia="en-US"/>
        </w:rPr>
        <w:t>(</w:t>
      </w:r>
      <w:r w:rsidRPr="000219CE">
        <w:rPr>
          <w:rFonts w:eastAsia="SimHei"/>
          <w:lang w:eastAsia="en-US"/>
        </w:rPr>
        <w:t>or family</w:t>
      </w:r>
      <w:r w:rsidR="007A5255" w:rsidRPr="000219CE">
        <w:rPr>
          <w:rFonts w:eastAsia="SimHei"/>
          <w:lang w:eastAsia="en-US"/>
        </w:rPr>
        <w:t>)</w:t>
      </w:r>
      <w:r w:rsidRPr="000219CE">
        <w:rPr>
          <w:rFonts w:eastAsia="SimHei"/>
          <w:lang w:eastAsia="en-US"/>
        </w:rPr>
        <w:t xml:space="preserve"> earning 50</w:t>
      </w:r>
      <w:r w:rsidR="00C26ECF" w:rsidRPr="000219CE">
        <w:rPr>
          <w:rFonts w:eastAsia="SimHei"/>
          <w:lang w:eastAsia="en-US"/>
        </w:rPr>
        <w:t xml:space="preserve"> per cent</w:t>
      </w:r>
      <w:r w:rsidRPr="000219CE">
        <w:rPr>
          <w:rFonts w:eastAsia="SimHei"/>
          <w:lang w:eastAsia="en-US"/>
        </w:rPr>
        <w:t xml:space="preserve"> of average wages. The average tax wedge progression includes the effect of employee and employer social security contributions, payroll taxes and cash benefits.</w:t>
      </w:r>
    </w:p>
    <w:p w14:paraId="37A149A0" w14:textId="5038C923" w:rsidR="001F27A9" w:rsidRPr="000219CE" w:rsidRDefault="00452397" w:rsidP="000D0ADB">
      <w:pPr>
        <w:pStyle w:val="ChartandTableNote"/>
        <w:ind w:left="426"/>
        <w:rPr>
          <w:i/>
        </w:rPr>
      </w:pPr>
      <w:r w:rsidRPr="000219CE">
        <w:rPr>
          <w:rFonts w:eastAsia="SimHei"/>
          <w:lang w:eastAsia="en-US"/>
        </w:rPr>
        <w:t xml:space="preserve">Source: </w:t>
      </w:r>
      <w:r w:rsidR="003F290D" w:rsidRPr="000219CE">
        <w:rPr>
          <w:rFonts w:eastAsia="SimHei"/>
          <w:lang w:eastAsia="en-US"/>
        </w:rPr>
        <w:t xml:space="preserve">Treasury calculations using </w:t>
      </w:r>
      <w:r w:rsidR="00D613CC" w:rsidRPr="000219CE">
        <w:rPr>
          <w:rFonts w:eastAsia="SimHei"/>
          <w:lang w:eastAsia="en-US"/>
        </w:rPr>
        <w:t xml:space="preserve">OECD 2014, </w:t>
      </w:r>
      <w:r w:rsidR="00D613CC" w:rsidRPr="000219CE">
        <w:rPr>
          <w:rFonts w:eastAsia="SimHei"/>
          <w:i/>
          <w:lang w:eastAsia="en-US"/>
        </w:rPr>
        <w:t>Taxing Wages</w:t>
      </w:r>
      <w:r w:rsidR="00D613CC" w:rsidRPr="000219CE">
        <w:rPr>
          <w:rFonts w:eastAsia="SimHei"/>
          <w:lang w:eastAsia="en-US"/>
        </w:rPr>
        <w:t xml:space="preserve">, OECD, Paris, </w:t>
      </w:r>
      <w:r w:rsidR="00C6091C" w:rsidRPr="000219CE">
        <w:t xml:space="preserve">viewed 3 December 2014: </w:t>
      </w:r>
      <w:r w:rsidR="00C6091C" w:rsidRPr="003D7ABD">
        <w:rPr>
          <w:color w:val="31A7D4" w:themeColor="accent1"/>
        </w:rPr>
        <w:t>http://stats.oecd.org/</w:t>
      </w:r>
      <w:r w:rsidR="00E53472">
        <w:rPr>
          <w:color w:val="31A7D4" w:themeColor="accent1"/>
        </w:rPr>
        <w:t>.</w:t>
      </w:r>
    </w:p>
    <w:p w14:paraId="35B76729" w14:textId="77777777" w:rsidR="000D0ADB" w:rsidRPr="000219CE" w:rsidRDefault="000D0ADB" w:rsidP="000D0ADB">
      <w:pPr>
        <w:rPr>
          <w:rFonts w:eastAsia="SimHei"/>
        </w:rPr>
      </w:pPr>
    </w:p>
    <w:p w14:paraId="579A1A3E" w14:textId="7F8996FD" w:rsidR="001F27A9" w:rsidRPr="000219CE" w:rsidRDefault="001F27A9" w:rsidP="005D4873">
      <w:pPr>
        <w:rPr>
          <w:rFonts w:eastAsia="SimHei"/>
        </w:rPr>
      </w:pPr>
      <w:r w:rsidRPr="000219CE">
        <w:rPr>
          <w:rFonts w:eastAsia="SimHei"/>
        </w:rPr>
        <w:t>A trade</w:t>
      </w:r>
      <w:r w:rsidR="00E53472">
        <w:rPr>
          <w:rFonts w:eastAsia="SimHei"/>
        </w:rPr>
        <w:noBreakHyphen/>
      </w:r>
      <w:r w:rsidRPr="000219CE">
        <w:rPr>
          <w:rFonts w:eastAsia="SimHei"/>
        </w:rPr>
        <w:t>off for Australia</w:t>
      </w:r>
      <w:r w:rsidR="00E53472">
        <w:rPr>
          <w:rFonts w:eastAsia="SimHei"/>
        </w:rPr>
        <w:t>’</w:t>
      </w:r>
      <w:r w:rsidRPr="000219CE">
        <w:rPr>
          <w:rFonts w:eastAsia="SimHei"/>
        </w:rPr>
        <w:t xml:space="preserve">s low average </w:t>
      </w:r>
      <w:r w:rsidR="00A21E2D" w:rsidRPr="000219CE">
        <w:rPr>
          <w:rFonts w:eastAsia="SimHei"/>
        </w:rPr>
        <w:t>individuals</w:t>
      </w:r>
      <w:r w:rsidR="00E53472">
        <w:rPr>
          <w:rFonts w:eastAsia="SimHei"/>
        </w:rPr>
        <w:t>’</w:t>
      </w:r>
      <w:r w:rsidRPr="000219CE">
        <w:rPr>
          <w:rFonts w:eastAsia="SimHei"/>
        </w:rPr>
        <w:t xml:space="preserve"> tax burden is that the statutory and effective tax rates produced by the interaction between the tax system and tightly targeted transfer system are comparatively high by international standards. For example, a single p</w:t>
      </w:r>
      <w:r w:rsidR="00EC3CB5" w:rsidRPr="000219CE">
        <w:rPr>
          <w:rFonts w:eastAsia="SimHei"/>
        </w:rPr>
        <w:t>erson in New Zealand earning NZ</w:t>
      </w:r>
      <w:r w:rsidRPr="000219CE">
        <w:rPr>
          <w:rFonts w:eastAsia="SimHei"/>
        </w:rPr>
        <w:t>$40,000 a year would pay 18.95 cents in tax on their n</w:t>
      </w:r>
      <w:r w:rsidR="00EC3CB5" w:rsidRPr="000219CE">
        <w:rPr>
          <w:rFonts w:eastAsia="SimHei"/>
        </w:rPr>
        <w:t>ext dollar of income and pay NZ</w:t>
      </w:r>
      <w:r w:rsidRPr="000219CE">
        <w:rPr>
          <w:rFonts w:eastAsia="SimHei"/>
        </w:rPr>
        <w:t>$6,600 in tax for the year.</w:t>
      </w:r>
      <w:r w:rsidR="00D60728" w:rsidRPr="000219CE">
        <w:rPr>
          <w:rStyle w:val="FootnoteReference"/>
          <w:rFonts w:eastAsia="SimHei"/>
        </w:rPr>
        <w:footnoteReference w:id="21"/>
      </w:r>
      <w:r w:rsidRPr="000219CE">
        <w:rPr>
          <w:rFonts w:eastAsia="SimHei"/>
        </w:rPr>
        <w:t xml:space="preserve"> I</w:t>
      </w:r>
      <w:r w:rsidR="00EC3CB5" w:rsidRPr="000219CE">
        <w:rPr>
          <w:rFonts w:eastAsia="SimHei"/>
        </w:rPr>
        <w:t xml:space="preserve">n Australia, someone earning </w:t>
      </w:r>
      <w:proofErr w:type="gramStart"/>
      <w:r w:rsidR="00EC3CB5" w:rsidRPr="000219CE">
        <w:rPr>
          <w:rFonts w:eastAsia="SimHei"/>
        </w:rPr>
        <w:t>A</w:t>
      </w:r>
      <w:r w:rsidRPr="000219CE">
        <w:rPr>
          <w:rFonts w:eastAsia="SimHei"/>
        </w:rPr>
        <w:t>$</w:t>
      </w:r>
      <w:proofErr w:type="gramEnd"/>
      <w:r w:rsidRPr="000219CE">
        <w:rPr>
          <w:rFonts w:eastAsia="SimHei"/>
        </w:rPr>
        <w:t>40,000 would pay 36 cents in tax on their next dollar of income</w:t>
      </w:r>
      <w:r w:rsidR="00EC3CB5" w:rsidRPr="000219CE">
        <w:rPr>
          <w:rFonts w:eastAsia="SimHei"/>
        </w:rPr>
        <w:t>, yet pay annual tax of only A</w:t>
      </w:r>
      <w:r w:rsidRPr="000219CE">
        <w:rPr>
          <w:rFonts w:eastAsia="SimHei"/>
        </w:rPr>
        <w:t>$4,947.</w:t>
      </w:r>
      <w:r w:rsidR="003D7425" w:rsidRPr="000219CE">
        <w:rPr>
          <w:rStyle w:val="FootnoteReference"/>
          <w:rFonts w:eastAsia="SimHei"/>
        </w:rPr>
        <w:footnoteReference w:id="22"/>
      </w:r>
    </w:p>
    <w:p w14:paraId="40505CDA" w14:textId="4899547C" w:rsidR="006B4520" w:rsidRPr="000219CE" w:rsidRDefault="00736898" w:rsidP="00457D02">
      <w:pPr>
        <w:pStyle w:val="Heading3"/>
        <w:rPr>
          <w:rFonts w:eastAsia="SimHei"/>
          <w:lang w:eastAsia="en-US"/>
        </w:rPr>
      </w:pPr>
      <w:bookmarkStart w:id="197" w:name="_Toc404346741"/>
      <w:bookmarkStart w:id="198" w:name="_Toc409532970"/>
      <w:r w:rsidRPr="000219CE">
        <w:rPr>
          <w:rFonts w:eastAsia="SimHei"/>
          <w:lang w:eastAsia="en-US"/>
        </w:rPr>
        <w:lastRenderedPageBreak/>
        <w:t xml:space="preserve">High effective tax rates </w:t>
      </w:r>
      <w:r w:rsidR="003A2D03" w:rsidRPr="000219CE">
        <w:rPr>
          <w:rFonts w:eastAsia="SimHei"/>
          <w:lang w:eastAsia="en-US"/>
        </w:rPr>
        <w:t xml:space="preserve">can </w:t>
      </w:r>
      <w:r w:rsidRPr="000219CE">
        <w:rPr>
          <w:rFonts w:eastAsia="SimHei"/>
          <w:lang w:eastAsia="en-US"/>
        </w:rPr>
        <w:t>reduce</w:t>
      </w:r>
      <w:r w:rsidR="003D30DE" w:rsidRPr="000219CE">
        <w:rPr>
          <w:rFonts w:eastAsia="SimHei"/>
          <w:lang w:eastAsia="en-US"/>
        </w:rPr>
        <w:t xml:space="preserve"> </w:t>
      </w:r>
      <w:r w:rsidR="006B4520" w:rsidRPr="000219CE">
        <w:rPr>
          <w:rFonts w:eastAsia="SimHei"/>
          <w:lang w:eastAsia="en-US"/>
        </w:rPr>
        <w:t>participation incentives for some groups</w:t>
      </w:r>
      <w:bookmarkEnd w:id="197"/>
      <w:bookmarkEnd w:id="198"/>
    </w:p>
    <w:p w14:paraId="4DEDAF9D" w14:textId="37741C00" w:rsidR="001F27A9" w:rsidRPr="000219CE" w:rsidRDefault="00B73788" w:rsidP="005D4873">
      <w:pPr>
        <w:rPr>
          <w:rFonts w:eastAsia="SimHei"/>
        </w:rPr>
      </w:pPr>
      <w:r w:rsidRPr="000219CE">
        <w:rPr>
          <w:rFonts w:eastAsia="SimHei"/>
        </w:rPr>
        <w:t>T</w:t>
      </w:r>
      <w:r w:rsidR="001F27A9" w:rsidRPr="000219CE">
        <w:rPr>
          <w:rFonts w:eastAsia="SimHei"/>
        </w:rPr>
        <w:t>he combined effect on a person</w:t>
      </w:r>
      <w:r w:rsidR="00E53472">
        <w:rPr>
          <w:rFonts w:eastAsia="SimHei"/>
        </w:rPr>
        <w:t>’</w:t>
      </w:r>
      <w:r w:rsidR="001F27A9" w:rsidRPr="000219CE">
        <w:rPr>
          <w:rFonts w:eastAsia="SimHei"/>
        </w:rPr>
        <w:t>s earnings of income tax and the withdrawal of means</w:t>
      </w:r>
      <w:r w:rsidR="00E53472">
        <w:rPr>
          <w:rFonts w:eastAsia="SimHei"/>
        </w:rPr>
        <w:noBreakHyphen/>
      </w:r>
      <w:r w:rsidR="001F27A9" w:rsidRPr="000219CE">
        <w:rPr>
          <w:rFonts w:eastAsia="SimHei"/>
        </w:rPr>
        <w:t>tested tax offsets and cash transfers in the welfare system</w:t>
      </w:r>
      <w:r w:rsidRPr="000219CE">
        <w:rPr>
          <w:rFonts w:eastAsia="SimHei"/>
        </w:rPr>
        <w:t xml:space="preserve"> is reflected in their effective tax rates</w:t>
      </w:r>
      <w:r w:rsidR="001F27A9" w:rsidRPr="000219CE">
        <w:rPr>
          <w:rFonts w:eastAsia="SimHei"/>
        </w:rPr>
        <w:t xml:space="preserve">. High </w:t>
      </w:r>
      <w:r w:rsidR="003A2D03" w:rsidRPr="000219CE">
        <w:rPr>
          <w:rFonts w:eastAsia="SimHei"/>
        </w:rPr>
        <w:t xml:space="preserve">effective tax rates </w:t>
      </w:r>
      <w:r w:rsidR="00FA7DD3" w:rsidRPr="000219CE">
        <w:rPr>
          <w:rFonts w:eastAsia="SimHei"/>
        </w:rPr>
        <w:t xml:space="preserve">can </w:t>
      </w:r>
      <w:r w:rsidR="001F27A9" w:rsidRPr="000219CE">
        <w:rPr>
          <w:rFonts w:eastAsia="SimHei"/>
        </w:rPr>
        <w:t>alter individuals</w:t>
      </w:r>
      <w:r w:rsidR="00E53472">
        <w:rPr>
          <w:rFonts w:eastAsia="SimHei"/>
        </w:rPr>
        <w:t>’</w:t>
      </w:r>
      <w:r w:rsidR="001F27A9" w:rsidRPr="000219CE">
        <w:rPr>
          <w:rFonts w:eastAsia="SimHei"/>
        </w:rPr>
        <w:t xml:space="preserve"> decisions about </w:t>
      </w:r>
      <w:r w:rsidR="00AC0D7E" w:rsidRPr="000219CE">
        <w:rPr>
          <w:rFonts w:eastAsia="SimHei"/>
        </w:rPr>
        <w:t>whether, and</w:t>
      </w:r>
      <w:r w:rsidR="00EE5E42" w:rsidRPr="000219CE">
        <w:rPr>
          <w:rFonts w:eastAsia="SimHei"/>
        </w:rPr>
        <w:t> </w:t>
      </w:r>
      <w:r w:rsidR="001F27A9" w:rsidRPr="000219CE">
        <w:rPr>
          <w:rFonts w:eastAsia="SimHei"/>
        </w:rPr>
        <w:t>how much</w:t>
      </w:r>
      <w:r w:rsidR="00AC0D7E" w:rsidRPr="000219CE">
        <w:rPr>
          <w:rFonts w:eastAsia="SimHei"/>
        </w:rPr>
        <w:t>,</w:t>
      </w:r>
      <w:r w:rsidR="001F27A9" w:rsidRPr="000219CE">
        <w:rPr>
          <w:rFonts w:eastAsia="SimHei"/>
        </w:rPr>
        <w:t xml:space="preserve"> they work.</w:t>
      </w:r>
    </w:p>
    <w:p w14:paraId="3276F3E0" w14:textId="7F28AC29" w:rsidR="001F27A9" w:rsidRPr="000219CE" w:rsidRDefault="001F27A9" w:rsidP="005D4873">
      <w:pPr>
        <w:rPr>
          <w:rFonts w:eastAsia="SimHei"/>
        </w:rPr>
      </w:pPr>
      <w:r w:rsidRPr="000219CE">
        <w:rPr>
          <w:rFonts w:eastAsia="SimHei"/>
        </w:rPr>
        <w:t xml:space="preserve">The </w:t>
      </w:r>
      <w:r w:rsidR="00FA7DD3" w:rsidRPr="000219CE">
        <w:rPr>
          <w:rFonts w:eastAsia="SimHei"/>
        </w:rPr>
        <w:t xml:space="preserve">impact </w:t>
      </w:r>
      <w:r w:rsidRPr="000219CE">
        <w:rPr>
          <w:rFonts w:eastAsia="SimHei"/>
        </w:rPr>
        <w:t>of</w:t>
      </w:r>
      <w:r w:rsidR="004561D5" w:rsidRPr="000219CE">
        <w:rPr>
          <w:rFonts w:eastAsia="SimHei"/>
        </w:rPr>
        <w:t xml:space="preserve"> high</w:t>
      </w:r>
      <w:r w:rsidRPr="000219CE">
        <w:rPr>
          <w:rFonts w:eastAsia="SimHei"/>
        </w:rPr>
        <w:t xml:space="preserve"> </w:t>
      </w:r>
      <w:r w:rsidR="0036694D" w:rsidRPr="000219CE">
        <w:rPr>
          <w:rFonts w:eastAsia="SimHei"/>
        </w:rPr>
        <w:t xml:space="preserve">effective tax rates </w:t>
      </w:r>
      <w:r w:rsidR="009D6771" w:rsidRPr="000219CE">
        <w:rPr>
          <w:rFonts w:eastAsia="SimHei"/>
        </w:rPr>
        <w:t>on individuals</w:t>
      </w:r>
      <w:r w:rsidR="00E53472">
        <w:rPr>
          <w:rFonts w:eastAsia="SimHei"/>
        </w:rPr>
        <w:t>’</w:t>
      </w:r>
      <w:r w:rsidR="009D6771" w:rsidRPr="000219CE">
        <w:rPr>
          <w:rFonts w:eastAsia="SimHei"/>
        </w:rPr>
        <w:t xml:space="preserve"> decisions</w:t>
      </w:r>
      <w:r w:rsidRPr="000219CE">
        <w:rPr>
          <w:rFonts w:eastAsia="SimHei"/>
        </w:rPr>
        <w:t xml:space="preserve"> is </w:t>
      </w:r>
      <w:r w:rsidR="00FA7DD3" w:rsidRPr="000219CE">
        <w:rPr>
          <w:rFonts w:eastAsia="SimHei"/>
        </w:rPr>
        <w:t xml:space="preserve">most </w:t>
      </w:r>
      <w:r w:rsidRPr="000219CE">
        <w:rPr>
          <w:rFonts w:eastAsia="SimHei"/>
        </w:rPr>
        <w:t>pronounced at lower levels of income</w:t>
      </w:r>
      <w:r w:rsidR="004561D5" w:rsidRPr="000219CE">
        <w:rPr>
          <w:rFonts w:eastAsia="SimHei"/>
        </w:rPr>
        <w:t xml:space="preserve"> and for particular groups </w:t>
      </w:r>
      <w:r w:rsidR="003B22DB" w:rsidRPr="000219CE">
        <w:rPr>
          <w:rFonts w:eastAsia="SimHei"/>
        </w:rPr>
        <w:t>like</w:t>
      </w:r>
      <w:r w:rsidR="004561D5" w:rsidRPr="000219CE">
        <w:rPr>
          <w:rFonts w:eastAsia="SimHei"/>
        </w:rPr>
        <w:t xml:space="preserve"> secondary earners</w:t>
      </w:r>
      <w:r w:rsidR="00C47C19" w:rsidRPr="000219CE">
        <w:rPr>
          <w:rFonts w:eastAsia="SimHei"/>
        </w:rPr>
        <w:t>, sole parents and those transitioning from income support into work</w:t>
      </w:r>
      <w:r w:rsidRPr="000219CE">
        <w:rPr>
          <w:rFonts w:eastAsia="SimHei"/>
        </w:rPr>
        <w:t xml:space="preserve">. High </w:t>
      </w:r>
      <w:r w:rsidR="003A2D03" w:rsidRPr="000219CE">
        <w:rPr>
          <w:rFonts w:eastAsia="SimHei"/>
        </w:rPr>
        <w:t xml:space="preserve">effective tax rates can </w:t>
      </w:r>
      <w:r w:rsidRPr="000219CE">
        <w:rPr>
          <w:rFonts w:eastAsia="SimHei"/>
        </w:rPr>
        <w:t xml:space="preserve">have economic </w:t>
      </w:r>
      <w:r w:rsidR="00FA7DD3" w:rsidRPr="000219CE">
        <w:rPr>
          <w:rFonts w:eastAsia="SimHei"/>
        </w:rPr>
        <w:t>consequences</w:t>
      </w:r>
      <w:r w:rsidRPr="000219CE">
        <w:rPr>
          <w:rFonts w:eastAsia="SimHei"/>
        </w:rPr>
        <w:t>, and can also be seen as unfair</w:t>
      </w:r>
      <w:r w:rsidR="00FA7DD3" w:rsidRPr="000219CE">
        <w:rPr>
          <w:rFonts w:eastAsia="SimHei"/>
        </w:rPr>
        <w:t xml:space="preserve"> where they excessively reduce returns </w:t>
      </w:r>
      <w:r w:rsidR="00A53D9D">
        <w:rPr>
          <w:rFonts w:eastAsia="SimHei"/>
        </w:rPr>
        <w:t>from working</w:t>
      </w:r>
      <w:r w:rsidRPr="000219CE">
        <w:rPr>
          <w:rFonts w:eastAsia="SimHei"/>
        </w:rPr>
        <w:t>.</w:t>
      </w:r>
    </w:p>
    <w:p w14:paraId="3AF5E0F1" w14:textId="532E6F94" w:rsidR="006B4520" w:rsidRPr="000219CE" w:rsidRDefault="00825D29" w:rsidP="00457D02">
      <w:pPr>
        <w:pStyle w:val="Heading3"/>
        <w:rPr>
          <w:rFonts w:eastAsia="SimHei"/>
          <w:lang w:eastAsia="en-US"/>
        </w:rPr>
      </w:pPr>
      <w:bookmarkStart w:id="199" w:name="_Toc404346742"/>
      <w:bookmarkStart w:id="200" w:name="_Toc409532971"/>
      <w:r w:rsidRPr="000219CE">
        <w:rPr>
          <w:rFonts w:eastAsia="SimHei"/>
          <w:lang w:eastAsia="en-US"/>
        </w:rPr>
        <w:t xml:space="preserve">Perceptions of fairness </w:t>
      </w:r>
      <w:r w:rsidR="00033764" w:rsidRPr="000219CE">
        <w:rPr>
          <w:rFonts w:eastAsia="SimHei"/>
          <w:lang w:eastAsia="en-US"/>
        </w:rPr>
        <w:t xml:space="preserve">also </w:t>
      </w:r>
      <w:r w:rsidRPr="000219CE">
        <w:rPr>
          <w:rFonts w:eastAsia="SimHei"/>
          <w:lang w:eastAsia="en-US"/>
        </w:rPr>
        <w:t>underpin</w:t>
      </w:r>
      <w:r w:rsidR="00033764" w:rsidRPr="000219CE">
        <w:rPr>
          <w:rFonts w:eastAsia="SimHei"/>
          <w:lang w:eastAsia="en-US"/>
        </w:rPr>
        <w:t xml:space="preserve"> wider</w:t>
      </w:r>
      <w:r w:rsidRPr="000219CE">
        <w:rPr>
          <w:rFonts w:eastAsia="SimHei"/>
          <w:lang w:eastAsia="en-US"/>
        </w:rPr>
        <w:t xml:space="preserve"> confidence in the tax system</w:t>
      </w:r>
      <w:bookmarkEnd w:id="199"/>
      <w:bookmarkEnd w:id="200"/>
    </w:p>
    <w:p w14:paraId="63C64CBB" w14:textId="1018976C" w:rsidR="00A3006A" w:rsidRPr="000219CE" w:rsidRDefault="006B4520" w:rsidP="00667301">
      <w:pPr>
        <w:spacing w:after="480"/>
        <w:rPr>
          <w:rFonts w:eastAsia="SimHei"/>
        </w:rPr>
      </w:pPr>
      <w:r w:rsidRPr="000219CE">
        <w:rPr>
          <w:rFonts w:eastAsia="SimHei"/>
        </w:rPr>
        <w:t>C</w:t>
      </w:r>
      <w:r w:rsidR="001F27A9" w:rsidRPr="000219CE">
        <w:rPr>
          <w:rFonts w:eastAsia="SimHei"/>
        </w:rPr>
        <w:t xml:space="preserve">onfidence in the tax system can be eroded when people </w:t>
      </w:r>
      <w:r w:rsidR="003B22DB" w:rsidRPr="000219CE">
        <w:rPr>
          <w:rFonts w:eastAsia="SimHei"/>
        </w:rPr>
        <w:t xml:space="preserve">think </w:t>
      </w:r>
      <w:r w:rsidR="001F27A9" w:rsidRPr="000219CE">
        <w:rPr>
          <w:rFonts w:eastAsia="SimHei"/>
        </w:rPr>
        <w:t>others are not paying their fair share</w:t>
      </w:r>
      <w:r w:rsidR="00431094" w:rsidRPr="000219CE">
        <w:rPr>
          <w:rFonts w:eastAsia="SimHei"/>
        </w:rPr>
        <w:t xml:space="preserve"> of tax</w:t>
      </w:r>
      <w:r w:rsidR="001F27A9" w:rsidRPr="000219CE">
        <w:rPr>
          <w:rFonts w:eastAsia="SimHei"/>
        </w:rPr>
        <w:t xml:space="preserve">. This can be due to concerns over concessions, aggressive </w:t>
      </w:r>
      <w:r w:rsidR="00431094" w:rsidRPr="000219CE">
        <w:rPr>
          <w:rFonts w:eastAsia="SimHei"/>
        </w:rPr>
        <w:t xml:space="preserve">tax </w:t>
      </w:r>
      <w:r w:rsidR="001F27A9" w:rsidRPr="000219CE">
        <w:rPr>
          <w:rFonts w:eastAsia="SimHei"/>
        </w:rPr>
        <w:t xml:space="preserve">avoidance or </w:t>
      </w:r>
      <w:r w:rsidR="00431094" w:rsidRPr="000219CE">
        <w:rPr>
          <w:rFonts w:eastAsia="SimHei"/>
        </w:rPr>
        <w:t xml:space="preserve">tax </w:t>
      </w:r>
      <w:r w:rsidR="001F27A9" w:rsidRPr="000219CE">
        <w:rPr>
          <w:rFonts w:eastAsia="SimHei"/>
        </w:rPr>
        <w:t>evasion activities. Maintaining confidence is particularly important given our reliance on self</w:t>
      </w:r>
      <w:r w:rsidR="00E53472">
        <w:rPr>
          <w:rFonts w:eastAsia="SimHei"/>
        </w:rPr>
        <w:noBreakHyphen/>
      </w:r>
      <w:r w:rsidR="001F27A9" w:rsidRPr="000219CE">
        <w:rPr>
          <w:rFonts w:eastAsia="SimHei"/>
        </w:rPr>
        <w:t>assessment</w:t>
      </w:r>
      <w:r w:rsidR="003B22DB" w:rsidRPr="000219CE">
        <w:rPr>
          <w:rFonts w:eastAsia="SimHei"/>
        </w:rPr>
        <w:t>, which</w:t>
      </w:r>
      <w:r w:rsidR="001F27A9" w:rsidRPr="000219CE">
        <w:rPr>
          <w:rFonts w:eastAsia="SimHei"/>
        </w:rPr>
        <w:t xml:space="preserve"> </w:t>
      </w:r>
      <w:r w:rsidR="00033764" w:rsidRPr="000219CE">
        <w:rPr>
          <w:rFonts w:eastAsia="SimHei"/>
        </w:rPr>
        <w:t>in the first instance asks individuals and entities to calculate their</w:t>
      </w:r>
      <w:r w:rsidR="003B22DB" w:rsidRPr="000219CE">
        <w:rPr>
          <w:rFonts w:eastAsia="SimHei"/>
        </w:rPr>
        <w:t xml:space="preserve"> own</w:t>
      </w:r>
      <w:r w:rsidR="00033764" w:rsidRPr="000219CE">
        <w:rPr>
          <w:rFonts w:eastAsia="SimHei"/>
        </w:rPr>
        <w:t xml:space="preserve"> tax liability</w:t>
      </w:r>
      <w:r w:rsidR="001F27A9" w:rsidRPr="000219CE">
        <w:rPr>
          <w:rFonts w:eastAsia="SimHei"/>
        </w:rPr>
        <w:t>.</w:t>
      </w:r>
      <w:r w:rsidR="00F5575B" w:rsidRPr="000219CE">
        <w:rPr>
          <w:rFonts w:eastAsia="SimHei"/>
        </w:rPr>
        <w:t xml:space="preserve"> Effective tax design and administration are important in maintaining high levels of compliance and confidence in the system.</w:t>
      </w:r>
    </w:p>
    <w:tbl>
      <w:tblPr>
        <w:tblStyle w:val="TableGrid"/>
        <w:tblW w:w="0" w:type="auto"/>
        <w:shd w:val="clear" w:color="auto" w:fill="EBEAEA" w:themeFill="accent6" w:themeFillTint="33"/>
        <w:tblCellMar>
          <w:top w:w="170" w:type="dxa"/>
          <w:left w:w="170" w:type="dxa"/>
          <w:bottom w:w="170" w:type="dxa"/>
          <w:right w:w="198" w:type="dxa"/>
        </w:tblCellMar>
        <w:tblLook w:val="04A0" w:firstRow="1" w:lastRow="0" w:firstColumn="1" w:lastColumn="0" w:noHBand="0" w:noVBand="1"/>
      </w:tblPr>
      <w:tblGrid>
        <w:gridCol w:w="9384"/>
      </w:tblGrid>
      <w:tr w:rsidR="000D0ADB" w:rsidRPr="000219CE" w14:paraId="7905B7A9" w14:textId="77777777" w:rsidTr="00EE5E42">
        <w:tc>
          <w:tcPr>
            <w:tcW w:w="9384" w:type="dxa"/>
            <w:tcBorders>
              <w:top w:val="nil"/>
              <w:left w:val="nil"/>
              <w:bottom w:val="nil"/>
              <w:right w:val="nil"/>
            </w:tcBorders>
            <w:shd w:val="clear" w:color="auto" w:fill="EBEAEA" w:themeFill="accent6" w:themeFillTint="33"/>
          </w:tcPr>
          <w:p w14:paraId="48C06CF4" w14:textId="27D45ABD" w:rsidR="000D0ADB" w:rsidRPr="000219CE" w:rsidRDefault="000D0ADB" w:rsidP="00E569EB">
            <w:pPr>
              <w:pStyle w:val="BoxHeading"/>
            </w:pPr>
            <w:r w:rsidRPr="000219CE">
              <w:t xml:space="preserve">Box </w:t>
            </w:r>
            <w:fldSimple w:instr=" STYLEREF 1 \s ">
              <w:r w:rsidR="0068169D">
                <w:rPr>
                  <w:noProof/>
                </w:rPr>
                <w:t>2</w:t>
              </w:r>
            </w:fldSimple>
            <w:r w:rsidRPr="000219CE">
              <w:t>.</w:t>
            </w:r>
            <w:fldSimple w:instr=" SEQ Box \* ARABIC \s 1 ">
              <w:r w:rsidR="0068169D">
                <w:rPr>
                  <w:noProof/>
                </w:rPr>
                <w:t>3</w:t>
              </w:r>
            </w:fldSimple>
            <w:r w:rsidRPr="000219CE">
              <w:t>: Perspectives on fairness in the tax system</w:t>
            </w:r>
          </w:p>
          <w:p w14:paraId="1C6217AF" w14:textId="77777777" w:rsidR="000D0ADB" w:rsidRPr="000219CE" w:rsidRDefault="000D0ADB" w:rsidP="000D0ADB">
            <w:pPr>
              <w:pStyle w:val="BoxText"/>
            </w:pPr>
            <w:r w:rsidRPr="000219CE">
              <w:t>Fairness is an important consideration for widespread acceptance and sustainability of the tax system. While fairness, or equity, is widely accepted as a fundamental design principle for the tax system, views about what this means in practice are very diverse. Similarly, there is no universally accepted benchmark for assessing the extent to which the tax system delivers equitable outcomes.</w:t>
            </w:r>
          </w:p>
          <w:p w14:paraId="186D5AE3" w14:textId="1352ED27" w:rsidR="004C5C0F" w:rsidRDefault="00866CB2" w:rsidP="000D0ADB">
            <w:pPr>
              <w:pStyle w:val="BoxText"/>
              <w:rPr>
                <w:rFonts w:cs="Arial"/>
              </w:rPr>
            </w:pPr>
            <w:r>
              <w:rPr>
                <w:rFonts w:cs="Arial"/>
              </w:rPr>
              <w:t>Most people consider that high</w:t>
            </w:r>
            <w:r w:rsidR="00E53472">
              <w:rPr>
                <w:rFonts w:cs="Arial"/>
              </w:rPr>
              <w:noBreakHyphen/>
            </w:r>
            <w:r w:rsidR="000D0ADB" w:rsidRPr="000219CE">
              <w:rPr>
                <w:rFonts w:cs="Arial"/>
              </w:rPr>
              <w:t>income earners</w:t>
            </w:r>
            <w:r>
              <w:rPr>
                <w:rFonts w:cs="Arial"/>
              </w:rPr>
              <w:t xml:space="preserve"> should pay more tax than lower</w:t>
            </w:r>
            <w:r w:rsidR="00E53472">
              <w:rPr>
                <w:rFonts w:cs="Arial"/>
              </w:rPr>
              <w:noBreakHyphen/>
            </w:r>
            <w:r w:rsidR="000D0ADB" w:rsidRPr="000219CE">
              <w:rPr>
                <w:rFonts w:cs="Arial"/>
              </w:rPr>
              <w:t xml:space="preserve">income earners, both in dollar and percentage terms. Much of the controversy around tax fairness stems from disagreement about the extent to which the </w:t>
            </w:r>
            <w:r w:rsidR="000D0ADB" w:rsidRPr="000219CE">
              <w:rPr>
                <w:i/>
              </w:rPr>
              <w:t xml:space="preserve">percentage of </w:t>
            </w:r>
            <w:hyperlink r:id="rId56" w:history="1">
              <w:r w:rsidR="000D0ADB" w:rsidRPr="000219CE">
                <w:rPr>
                  <w:i/>
                </w:rPr>
                <w:t>income</w:t>
              </w:r>
            </w:hyperlink>
            <w:r w:rsidR="000D0ADB" w:rsidRPr="000219CE">
              <w:rPr>
                <w:i/>
              </w:rPr>
              <w:t xml:space="preserve"> paid in </w:t>
            </w:r>
            <w:hyperlink r:id="rId57" w:history="1">
              <w:r w:rsidR="000D0ADB" w:rsidRPr="000219CE">
                <w:rPr>
                  <w:i/>
                </w:rPr>
                <w:t>taxes</w:t>
              </w:r>
            </w:hyperlink>
            <w:r w:rsidR="000D0ADB" w:rsidRPr="000219CE">
              <w:rPr>
                <w:rFonts w:cs="Arial"/>
              </w:rPr>
              <w:t xml:space="preserve"> should rise with higher levels of income. </w:t>
            </w:r>
          </w:p>
          <w:p w14:paraId="1F3FCB4A" w14:textId="3644716F" w:rsidR="000D0ADB" w:rsidRPr="000219CE" w:rsidRDefault="000D0ADB" w:rsidP="00667301">
            <w:pPr>
              <w:pStyle w:val="BoxText"/>
              <w:keepNext/>
              <w:keepLines/>
            </w:pPr>
            <w:r w:rsidRPr="000219CE">
              <w:t>Perspectives on equity are reflected in the different ways taxes can be structured: proportionally, progressively or regressively.</w:t>
            </w:r>
          </w:p>
          <w:p w14:paraId="6D669C17" w14:textId="77777777" w:rsidR="000D0ADB" w:rsidRPr="000219CE" w:rsidRDefault="000D0ADB" w:rsidP="000D0ADB">
            <w:pPr>
              <w:pStyle w:val="BoxText"/>
              <w:rPr>
                <w:rFonts w:cs="Arial"/>
              </w:rPr>
            </w:pPr>
            <w:r w:rsidRPr="000219CE">
              <w:rPr>
                <w:rFonts w:cs="Arial"/>
              </w:rPr>
              <w:t xml:space="preserve">A </w:t>
            </w:r>
            <w:r w:rsidRPr="000219CE">
              <w:rPr>
                <w:i/>
              </w:rPr>
              <w:t xml:space="preserve">proportional tax </w:t>
            </w:r>
            <w:r w:rsidRPr="000219CE">
              <w:rPr>
                <w:rFonts w:cs="Arial"/>
              </w:rPr>
              <w:t xml:space="preserve">is one where the average tax rate is </w:t>
            </w:r>
            <w:r w:rsidRPr="000219CE">
              <w:rPr>
                <w:i/>
              </w:rPr>
              <w:t>constant</w:t>
            </w:r>
            <w:r w:rsidRPr="000219CE">
              <w:rPr>
                <w:rFonts w:cs="Arial"/>
              </w:rPr>
              <w:t xml:space="preserve"> for all levels of the tax base. In these cases, the marginal tax rate equals the average tax rate. The GST, which has the same tax rate for all goods and services falling within its base, is an example of a proportional tax.</w:t>
            </w:r>
          </w:p>
          <w:p w14:paraId="147EFFC4" w14:textId="799397A8" w:rsidR="000D0ADB" w:rsidRPr="000219CE" w:rsidRDefault="000D0ADB" w:rsidP="000D0ADB">
            <w:pPr>
              <w:pStyle w:val="BoxText"/>
              <w:rPr>
                <w:rFonts w:cs="Arial"/>
              </w:rPr>
            </w:pPr>
            <w:r w:rsidRPr="000219CE">
              <w:rPr>
                <w:rFonts w:cs="Arial"/>
              </w:rPr>
              <w:t xml:space="preserve">A </w:t>
            </w:r>
            <w:r w:rsidRPr="000219CE">
              <w:rPr>
                <w:i/>
              </w:rPr>
              <w:t>progressive tax</w:t>
            </w:r>
            <w:r w:rsidRPr="000219CE">
              <w:rPr>
                <w:rFonts w:cs="Arial"/>
              </w:rPr>
              <w:t xml:space="preserve"> is one where the average tax rate </w:t>
            </w:r>
            <w:r w:rsidRPr="000219CE">
              <w:rPr>
                <w:i/>
              </w:rPr>
              <w:t>rises</w:t>
            </w:r>
            <w:r w:rsidRPr="000219CE">
              <w:rPr>
                <w:rFonts w:cs="Arial"/>
              </w:rPr>
              <w:t xml:space="preserve"> as the tax base rises (because of increasing marginal tax rates). Australia</w:t>
            </w:r>
            <w:r w:rsidR="00E53472">
              <w:rPr>
                <w:rFonts w:cs="Arial"/>
              </w:rPr>
              <w:t>’</w:t>
            </w:r>
            <w:r w:rsidRPr="000219CE">
              <w:rPr>
                <w:rFonts w:cs="Arial"/>
              </w:rPr>
              <w:t xml:space="preserve">s </w:t>
            </w:r>
            <w:proofErr w:type="gramStart"/>
            <w:r w:rsidRPr="000219CE">
              <w:rPr>
                <w:rFonts w:cs="Arial"/>
              </w:rPr>
              <w:t>individuals</w:t>
            </w:r>
            <w:proofErr w:type="gramEnd"/>
            <w:r w:rsidRPr="000219CE">
              <w:rPr>
                <w:rFonts w:cs="Arial"/>
              </w:rPr>
              <w:t xml:space="preserve"> income tax system is an example of a progressive tax.</w:t>
            </w:r>
          </w:p>
          <w:p w14:paraId="6726BAC6" w14:textId="3829C0EC" w:rsidR="000D0ADB" w:rsidRDefault="000D0ADB" w:rsidP="000D0ADB">
            <w:pPr>
              <w:pStyle w:val="BoxText"/>
              <w:rPr>
                <w:rFonts w:cs="Arial"/>
              </w:rPr>
            </w:pPr>
            <w:r w:rsidRPr="000219CE">
              <w:rPr>
                <w:rFonts w:cs="Arial"/>
              </w:rPr>
              <w:t xml:space="preserve">A </w:t>
            </w:r>
            <w:r w:rsidRPr="000219CE">
              <w:rPr>
                <w:i/>
              </w:rPr>
              <w:t>regressive tax</w:t>
            </w:r>
            <w:r w:rsidRPr="000219CE">
              <w:rPr>
                <w:rFonts w:cs="Arial"/>
              </w:rPr>
              <w:t xml:space="preserve"> is one where the average tax rate </w:t>
            </w:r>
            <w:r w:rsidRPr="000219CE">
              <w:rPr>
                <w:i/>
              </w:rPr>
              <w:t>falls</w:t>
            </w:r>
            <w:r w:rsidRPr="000219CE">
              <w:rPr>
                <w:rFonts w:cs="Arial"/>
              </w:rPr>
              <w:t xml:space="preserve"> as the tax base rises (and the marginal tax rate is below the average tax rate).</w:t>
            </w:r>
            <w:r w:rsidR="007E18D3">
              <w:rPr>
                <w:rFonts w:cs="Arial"/>
              </w:rPr>
              <w:t xml:space="preserve"> </w:t>
            </w:r>
          </w:p>
          <w:p w14:paraId="2F6AB968" w14:textId="332A8392" w:rsidR="007E18D3" w:rsidRPr="000219CE" w:rsidRDefault="007E18D3" w:rsidP="007E18D3">
            <w:pPr>
              <w:pStyle w:val="BoxHeading"/>
            </w:pPr>
            <w:r>
              <w:lastRenderedPageBreak/>
              <w:t>Box 2.3 con</w:t>
            </w:r>
            <w:r w:rsidR="00E53472">
              <w:t>’</w:t>
            </w:r>
            <w:r>
              <w:t>t</w:t>
            </w:r>
          </w:p>
          <w:p w14:paraId="53D81D16" w14:textId="6C819E1E" w:rsidR="000D0ADB" w:rsidRPr="000219CE" w:rsidRDefault="000D0ADB" w:rsidP="000D0ADB">
            <w:pPr>
              <w:pStyle w:val="BoxText"/>
              <w:rPr>
                <w:rFonts w:cs="Arial"/>
              </w:rPr>
            </w:pPr>
            <w:r w:rsidRPr="000219CE">
              <w:rPr>
                <w:rFonts w:cs="Arial"/>
              </w:rPr>
              <w:t xml:space="preserve">Just as the economic growth effect of tax reform is considered from the lens of the whole tax system (including </w:t>
            </w:r>
            <w:proofErr w:type="gramStart"/>
            <w:r w:rsidRPr="000219CE">
              <w:rPr>
                <w:rFonts w:cs="Arial"/>
              </w:rPr>
              <w:t>individuals</w:t>
            </w:r>
            <w:proofErr w:type="gramEnd"/>
            <w:r w:rsidRPr="000219CE">
              <w:rPr>
                <w:rFonts w:cs="Arial"/>
              </w:rPr>
              <w:t xml:space="preserve"> tax, fringe benefits tax, superannuation and so on) and the transfer system, the fairness of the tax system should also be assessed on a system</w:t>
            </w:r>
            <w:r w:rsidR="00E53472">
              <w:rPr>
                <w:rFonts w:cs="Arial"/>
              </w:rPr>
              <w:noBreakHyphen/>
            </w:r>
            <w:r w:rsidRPr="000219CE">
              <w:rPr>
                <w:rFonts w:cs="Arial"/>
              </w:rPr>
              <w:t>wide basis. For example, reforms that result in taxpayers in similar economic circumstances having similar tax liabilities (also called horizontal equity) are likely to make the system as a</w:t>
            </w:r>
            <w:r w:rsidR="00EE5E42" w:rsidRPr="000219CE">
              <w:rPr>
                <w:rFonts w:cs="Arial"/>
              </w:rPr>
              <w:t> </w:t>
            </w:r>
            <w:r w:rsidRPr="000219CE">
              <w:rPr>
                <w:rFonts w:cs="Arial"/>
              </w:rPr>
              <w:t>whole fairer, even when they have no impact on progressivity in the system.</w:t>
            </w:r>
          </w:p>
          <w:p w14:paraId="670161C0" w14:textId="509690EB" w:rsidR="000D0ADB" w:rsidRPr="000219CE" w:rsidRDefault="000D0ADB" w:rsidP="000D0ADB">
            <w:pPr>
              <w:pStyle w:val="BoxText"/>
              <w:rPr>
                <w:rFonts w:eastAsia="SimHei"/>
              </w:rPr>
            </w:pPr>
            <w:r w:rsidRPr="000219CE">
              <w:rPr>
                <w:rFonts w:eastAsia="SimHei"/>
              </w:rPr>
              <w:t>Fairness in the tax system (and also the transfer system) is often assessed according to how much an individual pays in tax (and receives in benefits) relative to their current income. However, as people</w:t>
            </w:r>
            <w:r w:rsidR="00E53472">
              <w:rPr>
                <w:rFonts w:eastAsia="SimHei"/>
              </w:rPr>
              <w:t>’</w:t>
            </w:r>
            <w:r w:rsidRPr="000219CE">
              <w:rPr>
                <w:rFonts w:eastAsia="SimHei"/>
              </w:rPr>
              <w:t>s incomes tend to change over their lives, an alternative perspective on fairness is taxes paid (and benefits received) relative to a person</w:t>
            </w:r>
            <w:r w:rsidR="00E53472">
              <w:rPr>
                <w:rFonts w:eastAsia="SimHei"/>
              </w:rPr>
              <w:t>’</w:t>
            </w:r>
            <w:r w:rsidRPr="000219CE">
              <w:rPr>
                <w:rFonts w:eastAsia="SimHei"/>
              </w:rPr>
              <w:t>s lifetime income. Currently, there is limited data on tax and transfer outcomes for individuals and households over the lifecycle.</w:t>
            </w:r>
          </w:p>
          <w:p w14:paraId="3B0FE0DC" w14:textId="77777777" w:rsidR="00A3006A" w:rsidRPr="000219CE" w:rsidRDefault="00A3006A" w:rsidP="00A3006A">
            <w:pPr>
              <w:pStyle w:val="BoxText"/>
              <w:rPr>
                <w:rFonts w:eastAsia="SimHei"/>
              </w:rPr>
            </w:pPr>
            <w:r w:rsidRPr="000219CE">
              <w:t>Questions of fairness or equity also arise when tax laws change with negative impacts for individuals or entities that have made decisions based on the previous policy.</w:t>
            </w:r>
          </w:p>
          <w:p w14:paraId="5B5C2509" w14:textId="25695364" w:rsidR="00A3006A" w:rsidRPr="000219CE" w:rsidRDefault="00A3006A" w:rsidP="00EE5E42">
            <w:pPr>
              <w:pStyle w:val="BoxText"/>
            </w:pPr>
            <w:r w:rsidRPr="000219CE">
              <w:t xml:space="preserve">To address these issues, special arrangements are often put in place temporarily to assist with a smooth transition. In some cases, </w:t>
            </w:r>
            <w:r w:rsidR="00E53472">
              <w:t>‘</w:t>
            </w:r>
            <w:r w:rsidRPr="000219CE">
              <w:t>grandfathering</w:t>
            </w:r>
            <w:r w:rsidR="00E53472">
              <w:t>’</w:t>
            </w:r>
            <w:r w:rsidRPr="000219CE">
              <w:t xml:space="preserve"> allows past arrangements to be applied indefinitely in existing situations, with the new arrangements applying to all future cases. While grandfathering arrangements can assist those who are negatively affected by a</w:t>
            </w:r>
            <w:r w:rsidR="00EE5E42" w:rsidRPr="000219CE">
              <w:t> </w:t>
            </w:r>
            <w:r w:rsidRPr="000219CE">
              <w:t>tax change, they can also be a source of enduring complexity in the tax system.</w:t>
            </w:r>
          </w:p>
        </w:tc>
      </w:tr>
    </w:tbl>
    <w:p w14:paraId="2AAA172E" w14:textId="77777777" w:rsidR="00A3006A" w:rsidRPr="000219CE" w:rsidRDefault="00A3006A" w:rsidP="00A3006A">
      <w:pPr>
        <w:rPr>
          <w:rFonts w:eastAsia="SimHei"/>
        </w:rPr>
      </w:pPr>
    </w:p>
    <w:p w14:paraId="1FC1DEC5" w14:textId="06FAB7AE" w:rsidR="001F27A9" w:rsidRPr="000219CE" w:rsidRDefault="00A7602F" w:rsidP="00457D02">
      <w:pPr>
        <w:pStyle w:val="Heading3"/>
      </w:pPr>
      <w:bookmarkStart w:id="201" w:name="_Toc402326859"/>
      <w:bookmarkStart w:id="202" w:name="_Toc402333511"/>
      <w:bookmarkStart w:id="203" w:name="_Toc402340287"/>
      <w:bookmarkStart w:id="204" w:name="_Toc402343382"/>
      <w:bookmarkStart w:id="205" w:name="_Toc402346618"/>
      <w:bookmarkStart w:id="206" w:name="_Toc404346743"/>
      <w:bookmarkStart w:id="207" w:name="_Toc409532972"/>
      <w:r w:rsidRPr="000219CE">
        <w:t xml:space="preserve">Tax on individual savings should give people the incentive to consider their future, but different types of savings are taxed differently, which </w:t>
      </w:r>
      <w:r w:rsidR="0085578F" w:rsidRPr="000219CE">
        <w:t xml:space="preserve">affects </w:t>
      </w:r>
      <w:r w:rsidRPr="000219CE">
        <w:t>savings choices</w:t>
      </w:r>
      <w:bookmarkEnd w:id="201"/>
      <w:bookmarkEnd w:id="202"/>
      <w:bookmarkEnd w:id="203"/>
      <w:bookmarkEnd w:id="204"/>
      <w:bookmarkEnd w:id="205"/>
      <w:bookmarkEnd w:id="206"/>
      <w:bookmarkEnd w:id="207"/>
    </w:p>
    <w:p w14:paraId="6B8BEC3A" w14:textId="0081494B" w:rsidR="001F27A9" w:rsidRPr="000219CE" w:rsidRDefault="001F27A9" w:rsidP="001F27A9">
      <w:r w:rsidRPr="000219CE">
        <w:t xml:space="preserve">Most </w:t>
      </w:r>
      <w:r w:rsidR="009D6771" w:rsidRPr="000219CE">
        <w:t xml:space="preserve">forms </w:t>
      </w:r>
      <w:r w:rsidRPr="000219CE">
        <w:t>of private savings are taxed at lower rates than labour income. Taxing savings at lower rates than labour income can reduce or remove the negative effects of inflation on incentives for individuals to save for their future.</w:t>
      </w:r>
    </w:p>
    <w:p w14:paraId="71F263E7" w14:textId="2280483B" w:rsidR="001F27A9" w:rsidRDefault="001F27A9" w:rsidP="00667301">
      <w:pPr>
        <w:spacing w:after="0"/>
      </w:pPr>
      <w:r w:rsidRPr="000219CE">
        <w:t>Australia</w:t>
      </w:r>
      <w:r w:rsidR="00E53472">
        <w:t>’</w:t>
      </w:r>
      <w:r w:rsidRPr="000219CE">
        <w:t xml:space="preserve">s tax system treats alternative forms of saving differently. At one end of the spectrum, savings held in the family home </w:t>
      </w:r>
      <w:r w:rsidR="0070668D" w:rsidRPr="000219CE">
        <w:t>are</w:t>
      </w:r>
      <w:r w:rsidR="00683EBB" w:rsidRPr="000219CE">
        <w:t xml:space="preserve"> </w:t>
      </w:r>
      <w:r w:rsidR="003B22DB" w:rsidRPr="000219CE">
        <w:t xml:space="preserve">taxed at </w:t>
      </w:r>
      <w:r w:rsidRPr="000219CE">
        <w:t xml:space="preserve">average </w:t>
      </w:r>
      <w:r w:rsidR="003B22DB" w:rsidRPr="000219CE">
        <w:t xml:space="preserve">effective </w:t>
      </w:r>
      <w:r w:rsidRPr="000219CE">
        <w:t>tax rates approaching zero.</w:t>
      </w:r>
      <w:r w:rsidR="00AB5E4B" w:rsidRPr="000219CE">
        <w:rPr>
          <w:rStyle w:val="FootnoteReference"/>
        </w:rPr>
        <w:footnoteReference w:id="23"/>
      </w:r>
      <w:r w:rsidRPr="000219CE">
        <w:t xml:space="preserve"> At the other end</w:t>
      </w:r>
      <w:r w:rsidR="0085578F" w:rsidRPr="000219CE">
        <w:t xml:space="preserve"> of the spectrum</w:t>
      </w:r>
      <w:r w:rsidRPr="000219CE">
        <w:t>, savings held as financial deposits are taxed at full marginal rates</w:t>
      </w:r>
      <w:r w:rsidR="002310AD" w:rsidRPr="000219CE">
        <w:t>,</w:t>
      </w:r>
      <w:r w:rsidRPr="000219CE">
        <w:t xml:space="preserve"> without any recognition for</w:t>
      </w:r>
      <w:r w:rsidR="00D42E68" w:rsidRPr="000219CE">
        <w:t xml:space="preserve"> the costs of</w:t>
      </w:r>
      <w:r w:rsidRPr="000219CE">
        <w:t xml:space="preserve"> inflation</w:t>
      </w:r>
      <w:r w:rsidR="00AC472D" w:rsidRPr="000219CE">
        <w:t xml:space="preserve">. </w:t>
      </w:r>
    </w:p>
    <w:p w14:paraId="03731361" w14:textId="77777777" w:rsidR="007C3D0B" w:rsidRPr="000219CE" w:rsidRDefault="007C3D0B" w:rsidP="00667301">
      <w:pPr>
        <w:spacing w:after="0"/>
      </w:pPr>
    </w:p>
    <w:p w14:paraId="23831105" w14:textId="297919A5" w:rsidR="00EB337C" w:rsidRDefault="001F27A9" w:rsidP="00457D02">
      <w:r w:rsidRPr="000219CE">
        <w:t xml:space="preserve">The policy rationale for </w:t>
      </w:r>
      <w:r w:rsidR="007C3D0B">
        <w:t xml:space="preserve">these differences is not always </w:t>
      </w:r>
      <w:r w:rsidRPr="000219CE">
        <w:t xml:space="preserve">clear and can </w:t>
      </w:r>
      <w:r w:rsidR="0085578F" w:rsidRPr="000219CE">
        <w:t>distort</w:t>
      </w:r>
      <w:r w:rsidRPr="000219CE">
        <w:t xml:space="preserve"> taxpayers</w:t>
      </w:r>
      <w:r w:rsidR="00E53472">
        <w:t>’</w:t>
      </w:r>
      <w:r w:rsidRPr="000219CE">
        <w:t xml:space="preserve"> </w:t>
      </w:r>
      <w:r w:rsidR="001130A9" w:rsidRPr="000219CE">
        <w:t xml:space="preserve">savings </w:t>
      </w:r>
      <w:r w:rsidRPr="000219CE">
        <w:t>decisions. This has implications both</w:t>
      </w:r>
      <w:r w:rsidR="003B22DB" w:rsidRPr="000219CE">
        <w:t xml:space="preserve"> for</w:t>
      </w:r>
      <w:r w:rsidRPr="000219CE">
        <w:t xml:space="preserve"> efficient</w:t>
      </w:r>
      <w:r w:rsidR="003B22DB" w:rsidRPr="000219CE">
        <w:t>ly</w:t>
      </w:r>
      <w:r w:rsidRPr="000219CE">
        <w:t xml:space="preserve"> allocati</w:t>
      </w:r>
      <w:r w:rsidR="003B22DB" w:rsidRPr="000219CE">
        <w:t>ng</w:t>
      </w:r>
      <w:r w:rsidRPr="000219CE">
        <w:t xml:space="preserve"> savings in the economy and distributi</w:t>
      </w:r>
      <w:r w:rsidR="003B22DB" w:rsidRPr="000219CE">
        <w:t>ng</w:t>
      </w:r>
      <w:r w:rsidRPr="000219CE">
        <w:t xml:space="preserve"> risk across households.</w:t>
      </w:r>
    </w:p>
    <w:p w14:paraId="4914FD7B" w14:textId="77777777" w:rsidR="002B25E7" w:rsidRPr="000219CE" w:rsidRDefault="002B25E7" w:rsidP="00457D02"/>
    <w:tbl>
      <w:tblPr>
        <w:tblStyle w:val="TableGrid"/>
        <w:tblW w:w="9384" w:type="dxa"/>
        <w:tblBorders>
          <w:top w:val="single" w:sz="18" w:space="0" w:color="31A7D4" w:themeColor="accent1"/>
          <w:left w:val="single" w:sz="18" w:space="0" w:color="31A7D4" w:themeColor="accent1"/>
          <w:bottom w:val="single" w:sz="18" w:space="0" w:color="31A7D4" w:themeColor="accent1"/>
          <w:right w:val="single" w:sz="18" w:space="0" w:color="31A7D4" w:themeColor="accent1"/>
          <w:insideH w:val="single" w:sz="18" w:space="0" w:color="31A7D4" w:themeColor="accent1"/>
          <w:insideV w:val="single" w:sz="18" w:space="0" w:color="31A7D4" w:themeColor="accent1"/>
        </w:tblBorders>
        <w:tblCellMar>
          <w:top w:w="170" w:type="dxa"/>
          <w:left w:w="170" w:type="dxa"/>
          <w:bottom w:w="170" w:type="dxa"/>
          <w:right w:w="170" w:type="dxa"/>
        </w:tblCellMar>
        <w:tblLook w:val="04A0" w:firstRow="1" w:lastRow="0" w:firstColumn="1" w:lastColumn="0" w:noHBand="0" w:noVBand="1"/>
      </w:tblPr>
      <w:tblGrid>
        <w:gridCol w:w="9384"/>
      </w:tblGrid>
      <w:tr w:rsidR="000D0ADB" w14:paraId="400DE997" w14:textId="77777777" w:rsidTr="00E569EB">
        <w:tc>
          <w:tcPr>
            <w:tcW w:w="9384" w:type="dxa"/>
          </w:tcPr>
          <w:p w14:paraId="3EBA53BA" w14:textId="27137606" w:rsidR="000D0ADB" w:rsidRPr="000219CE" w:rsidRDefault="000D0ADB" w:rsidP="00E569EB">
            <w:pPr>
              <w:pStyle w:val="Questionheading"/>
              <w:ind w:right="113"/>
            </w:pPr>
            <w:r w:rsidRPr="000219CE">
              <w:lastRenderedPageBreak/>
              <w:t>Discussion questions: Australia</w:t>
            </w:r>
            <w:r w:rsidR="00E53472">
              <w:t>’</w:t>
            </w:r>
            <w:r w:rsidRPr="000219CE">
              <w:t>s tax system</w:t>
            </w:r>
          </w:p>
          <w:p w14:paraId="0D2AD493" w14:textId="317FF3FC" w:rsidR="000D0ADB" w:rsidRPr="000219CE" w:rsidRDefault="000D0ADB" w:rsidP="004C5C0F">
            <w:pPr>
              <w:pStyle w:val="Questiontext"/>
            </w:pPr>
            <w:r w:rsidRPr="000219CE">
              <w:t>How well does Australia</w:t>
            </w:r>
            <w:r w:rsidR="00E53472">
              <w:t>’</w:t>
            </w:r>
            <w:r w:rsidRPr="000219CE">
              <w:t>s utilisation of its available taxes align with the evolving structure of Australia</w:t>
            </w:r>
            <w:r w:rsidR="00E53472">
              <w:t>’</w:t>
            </w:r>
            <w:r w:rsidRPr="000219CE">
              <w:t>s economy and changes in the international economy?</w:t>
            </w:r>
          </w:p>
          <w:p w14:paraId="1B793B95" w14:textId="49E85F49" w:rsidR="000D0ADB" w:rsidRPr="000219CE" w:rsidRDefault="000D0ADB" w:rsidP="000D0ADB">
            <w:pPr>
              <w:pStyle w:val="Questiontext"/>
              <w:ind w:right="113"/>
            </w:pPr>
            <w:r w:rsidRPr="000219CE">
              <w:t>How important is it to reform taxes to boost economic growth? What trade</w:t>
            </w:r>
            <w:r w:rsidR="00E53472">
              <w:noBreakHyphen/>
            </w:r>
            <w:r w:rsidRPr="000219CE">
              <w:t>offs need to be considered?</w:t>
            </w:r>
          </w:p>
          <w:p w14:paraId="0F55E88D" w14:textId="77777777" w:rsidR="000D0ADB" w:rsidRPr="000219CE" w:rsidRDefault="000D0ADB" w:rsidP="000D0ADB">
            <w:pPr>
              <w:pStyle w:val="Questiontext"/>
              <w:ind w:right="113"/>
            </w:pPr>
            <w:bookmarkStart w:id="208" w:name="_Toc404156501"/>
            <w:bookmarkStart w:id="209" w:name="_Toc404156648"/>
            <w:r w:rsidRPr="000219CE">
              <w:t>To what extent should reducing complexity be a priority for tax reform?</w:t>
            </w:r>
            <w:bookmarkEnd w:id="208"/>
            <w:bookmarkEnd w:id="209"/>
          </w:p>
          <w:p w14:paraId="3F29C240" w14:textId="6DC72B02" w:rsidR="000D0ADB" w:rsidRPr="000219CE" w:rsidRDefault="000D0ADB" w:rsidP="000D0ADB">
            <w:pPr>
              <w:pStyle w:val="Questiontext"/>
              <w:ind w:right="113"/>
            </w:pPr>
            <w:bookmarkStart w:id="210" w:name="_Toc404156502"/>
            <w:bookmarkStart w:id="211" w:name="_Toc404156649"/>
            <w:r w:rsidRPr="000219CE">
              <w:t>What parts of the tax system are most important for maintaining fairness in the tax system? Are there areas where fairness in the tax system could be improved?</w:t>
            </w:r>
            <w:bookmarkEnd w:id="210"/>
            <w:bookmarkEnd w:id="211"/>
          </w:p>
        </w:tc>
      </w:tr>
    </w:tbl>
    <w:p w14:paraId="2F0BB4BB" w14:textId="77777777" w:rsidR="000D0ADB" w:rsidRDefault="000D0ADB" w:rsidP="00457D02"/>
    <w:p w14:paraId="74E259E5" w14:textId="60B3199F" w:rsidR="00056F03" w:rsidRPr="007B4589" w:rsidRDefault="00056F03" w:rsidP="00194203">
      <w:pPr>
        <w:spacing w:after="0"/>
      </w:pPr>
    </w:p>
    <w:sectPr w:rsidR="00056F03" w:rsidRPr="007B4589" w:rsidSect="004C5C0F">
      <w:headerReference w:type="even" r:id="rId58"/>
      <w:headerReference w:type="default" r:id="rId59"/>
      <w:footerReference w:type="even" r:id="rId60"/>
      <w:footerReference w:type="default" r:id="rId61"/>
      <w:headerReference w:type="first" r:id="rId62"/>
      <w:footerReference w:type="first" r:id="rId63"/>
      <w:footnotePr>
        <w:numStart w:val="2"/>
      </w:footnotePr>
      <w:type w:val="continuous"/>
      <w:pgSz w:w="11906" w:h="16838" w:code="9"/>
      <w:pgMar w:top="1418" w:right="1418" w:bottom="1418" w:left="141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327C1" w14:textId="77777777" w:rsidR="003768D2" w:rsidRDefault="003768D2">
      <w:r>
        <w:separator/>
      </w:r>
    </w:p>
  </w:endnote>
  <w:endnote w:type="continuationSeparator" w:id="0">
    <w:p w14:paraId="06406CF5" w14:textId="77777777" w:rsidR="003768D2" w:rsidRDefault="003768D2">
      <w:r>
        <w:continuationSeparator/>
      </w:r>
    </w:p>
  </w:endnote>
  <w:endnote w:type="continuationNotice" w:id="1">
    <w:p w14:paraId="5ECC0698" w14:textId="77777777" w:rsidR="003768D2" w:rsidRDefault="003768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768D2" w14:paraId="78733648" w14:textId="77777777" w:rsidTr="009D0589">
      <w:tc>
        <w:tcPr>
          <w:tcW w:w="4643" w:type="dxa"/>
          <w:vAlign w:val="bottom"/>
        </w:tcPr>
        <w:p w14:paraId="27C5D4A4" w14:textId="77777777" w:rsidR="003768D2" w:rsidRDefault="003768D2" w:rsidP="009D0589">
          <w:pPr>
            <w:pStyle w:val="FooterOdd"/>
          </w:pPr>
          <w:r w:rsidRPr="000217EE">
            <w:fldChar w:fldCharType="begin"/>
          </w:r>
          <w:r w:rsidRPr="000217EE">
            <w:instrText xml:space="preserve"> PAGE   \* MERGEFORMAT </w:instrText>
          </w:r>
          <w:r w:rsidRPr="000217EE">
            <w:fldChar w:fldCharType="separate"/>
          </w:r>
          <w:r w:rsidR="00E74948">
            <w:rPr>
              <w:noProof/>
            </w:rPr>
            <w:t>14</w:t>
          </w:r>
          <w:r w:rsidRPr="000217EE">
            <w:fldChar w:fldCharType="end"/>
          </w:r>
        </w:p>
      </w:tc>
      <w:tc>
        <w:tcPr>
          <w:tcW w:w="4643" w:type="dxa"/>
          <w:vAlign w:val="bottom"/>
        </w:tcPr>
        <w:p w14:paraId="6B7B68DF" w14:textId="1890700D" w:rsidR="003768D2" w:rsidRDefault="00BB64E2" w:rsidP="009D0589">
          <w:pPr>
            <w:pStyle w:val="FooterOdd"/>
            <w:jc w:val="right"/>
          </w:pPr>
          <w:r>
            <w:rPr>
              <w:noProof/>
            </w:rPr>
            <w:drawing>
              <wp:inline distT="0" distB="0" distL="0" distR="0" wp14:anchorId="7827616F" wp14:editId="19D1E0CE">
                <wp:extent cx="1008000" cy="28765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hink_lines.jpg"/>
                        <pic:cNvPicPr/>
                      </pic:nvPicPr>
                      <pic:blipFill>
                        <a:blip r:embed="rId1" cstate="print">
                          <a:extLst>
                            <a:ext uri="{28A0092B-C50C-407E-A947-70E740481C1C}">
                              <a14:useLocalDpi xmlns:a14="http://schemas.microsoft.com/office/drawing/2010/main"/>
                            </a:ext>
                          </a:extLst>
                        </a:blip>
                        <a:stretch>
                          <a:fillRect/>
                        </a:stretch>
                      </pic:blipFill>
                      <pic:spPr>
                        <a:xfrm>
                          <a:off x="0" y="0"/>
                          <a:ext cx="1008000" cy="287658"/>
                        </a:xfrm>
                        <a:prstGeom prst="rect">
                          <a:avLst/>
                        </a:prstGeom>
                      </pic:spPr>
                    </pic:pic>
                  </a:graphicData>
                </a:graphic>
              </wp:inline>
            </w:drawing>
          </w:r>
        </w:p>
      </w:tc>
    </w:tr>
  </w:tbl>
  <w:p w14:paraId="030B7625" w14:textId="77777777" w:rsidR="003768D2" w:rsidRPr="00F50305" w:rsidRDefault="003768D2">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768D2" w14:paraId="3933B637" w14:textId="77777777" w:rsidTr="009D0589">
      <w:tc>
        <w:tcPr>
          <w:tcW w:w="4643" w:type="dxa"/>
          <w:vAlign w:val="bottom"/>
        </w:tcPr>
        <w:p w14:paraId="16ED394D" w14:textId="4909C103" w:rsidR="003768D2" w:rsidRDefault="00BB64E2" w:rsidP="009D0589">
          <w:pPr>
            <w:pStyle w:val="FooterOdd"/>
          </w:pPr>
          <w:r>
            <w:rPr>
              <w:noProof/>
            </w:rPr>
            <w:drawing>
              <wp:inline distT="0" distB="0" distL="0" distR="0" wp14:anchorId="163E64B0" wp14:editId="72A96A2F">
                <wp:extent cx="1008000" cy="28765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hink_lines.jpg"/>
                        <pic:cNvPicPr/>
                      </pic:nvPicPr>
                      <pic:blipFill>
                        <a:blip r:embed="rId1" cstate="print">
                          <a:extLst>
                            <a:ext uri="{28A0092B-C50C-407E-A947-70E740481C1C}">
                              <a14:useLocalDpi xmlns:a14="http://schemas.microsoft.com/office/drawing/2010/main"/>
                            </a:ext>
                          </a:extLst>
                        </a:blip>
                        <a:stretch>
                          <a:fillRect/>
                        </a:stretch>
                      </pic:blipFill>
                      <pic:spPr>
                        <a:xfrm>
                          <a:off x="0" y="0"/>
                          <a:ext cx="1008000" cy="287658"/>
                        </a:xfrm>
                        <a:prstGeom prst="rect">
                          <a:avLst/>
                        </a:prstGeom>
                      </pic:spPr>
                    </pic:pic>
                  </a:graphicData>
                </a:graphic>
              </wp:inline>
            </w:drawing>
          </w:r>
        </w:p>
      </w:tc>
      <w:tc>
        <w:tcPr>
          <w:tcW w:w="4643" w:type="dxa"/>
          <w:vAlign w:val="bottom"/>
        </w:tcPr>
        <w:p w14:paraId="25BC05B5" w14:textId="77777777" w:rsidR="003768D2" w:rsidRDefault="003768D2" w:rsidP="009D0589">
          <w:pPr>
            <w:pStyle w:val="FooterOdd"/>
            <w:jc w:val="right"/>
          </w:pPr>
          <w:r w:rsidRPr="000217EE">
            <w:fldChar w:fldCharType="begin"/>
          </w:r>
          <w:r w:rsidRPr="000217EE">
            <w:instrText xml:space="preserve"> PAGE   \* MERGEFORMAT </w:instrText>
          </w:r>
          <w:r w:rsidRPr="000217EE">
            <w:fldChar w:fldCharType="separate"/>
          </w:r>
          <w:r w:rsidR="00E74948">
            <w:rPr>
              <w:noProof/>
            </w:rPr>
            <w:t>29</w:t>
          </w:r>
          <w:r w:rsidRPr="000217EE">
            <w:fldChar w:fldCharType="end"/>
          </w:r>
        </w:p>
      </w:tc>
    </w:tr>
  </w:tbl>
  <w:p w14:paraId="65AB219D" w14:textId="77777777" w:rsidR="003768D2" w:rsidRPr="00F50305" w:rsidRDefault="003768D2">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768D2" w14:paraId="2B9F93E7" w14:textId="77777777" w:rsidTr="009D0589">
      <w:tc>
        <w:tcPr>
          <w:tcW w:w="4643" w:type="dxa"/>
          <w:vAlign w:val="bottom"/>
        </w:tcPr>
        <w:p w14:paraId="638AF802" w14:textId="3904178E" w:rsidR="003768D2" w:rsidRDefault="00BB64E2" w:rsidP="009D0589">
          <w:pPr>
            <w:pStyle w:val="FooterOdd"/>
          </w:pPr>
          <w:r>
            <w:rPr>
              <w:noProof/>
            </w:rPr>
            <w:drawing>
              <wp:inline distT="0" distB="0" distL="0" distR="0" wp14:anchorId="6D0863FF" wp14:editId="0E8BAC89">
                <wp:extent cx="1008000" cy="28765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hink_lines.jpg"/>
                        <pic:cNvPicPr/>
                      </pic:nvPicPr>
                      <pic:blipFill>
                        <a:blip r:embed="rId1" cstate="print">
                          <a:extLst>
                            <a:ext uri="{28A0092B-C50C-407E-A947-70E740481C1C}">
                              <a14:useLocalDpi xmlns:a14="http://schemas.microsoft.com/office/drawing/2010/main"/>
                            </a:ext>
                          </a:extLst>
                        </a:blip>
                        <a:stretch>
                          <a:fillRect/>
                        </a:stretch>
                      </pic:blipFill>
                      <pic:spPr>
                        <a:xfrm>
                          <a:off x="0" y="0"/>
                          <a:ext cx="1008000" cy="287658"/>
                        </a:xfrm>
                        <a:prstGeom prst="rect">
                          <a:avLst/>
                        </a:prstGeom>
                      </pic:spPr>
                    </pic:pic>
                  </a:graphicData>
                </a:graphic>
              </wp:inline>
            </w:drawing>
          </w:r>
        </w:p>
      </w:tc>
      <w:tc>
        <w:tcPr>
          <w:tcW w:w="4643" w:type="dxa"/>
          <w:vAlign w:val="bottom"/>
        </w:tcPr>
        <w:p w14:paraId="65593DAA" w14:textId="6E90DC52" w:rsidR="003768D2" w:rsidRDefault="003768D2" w:rsidP="00F50305">
          <w:pPr>
            <w:pStyle w:val="FooterOdd"/>
            <w:jc w:val="right"/>
          </w:pPr>
          <w:r w:rsidRPr="000217EE">
            <w:fldChar w:fldCharType="begin"/>
          </w:r>
          <w:r w:rsidRPr="000217EE">
            <w:instrText xml:space="preserve"> PAGE   \* MERGEFORMAT </w:instrText>
          </w:r>
          <w:r w:rsidRPr="000217EE">
            <w:fldChar w:fldCharType="separate"/>
          </w:r>
          <w:r w:rsidR="00E74948">
            <w:rPr>
              <w:noProof/>
            </w:rPr>
            <w:t>13</w:t>
          </w:r>
          <w:r w:rsidRPr="000217EE">
            <w:fldChar w:fldCharType="end"/>
          </w:r>
        </w:p>
      </w:tc>
    </w:tr>
  </w:tbl>
  <w:p w14:paraId="151BEDDC" w14:textId="77777777" w:rsidR="003768D2" w:rsidRPr="003E4E09" w:rsidRDefault="003768D2" w:rsidP="003E4E0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16E98" w14:textId="77777777" w:rsidR="003768D2" w:rsidRDefault="003768D2" w:rsidP="00F37E7D">
      <w:pPr>
        <w:spacing w:after="0"/>
      </w:pPr>
      <w:r>
        <w:separator/>
      </w:r>
    </w:p>
  </w:footnote>
  <w:footnote w:type="continuationSeparator" w:id="0">
    <w:p w14:paraId="1173D531" w14:textId="77777777" w:rsidR="003768D2" w:rsidRDefault="003768D2">
      <w:r>
        <w:continuationSeparator/>
      </w:r>
    </w:p>
  </w:footnote>
  <w:footnote w:type="continuationNotice" w:id="1">
    <w:p w14:paraId="121FE455" w14:textId="77777777" w:rsidR="003768D2" w:rsidRDefault="003768D2">
      <w:pPr>
        <w:spacing w:after="0"/>
      </w:pPr>
    </w:p>
  </w:footnote>
  <w:footnote w:id="2">
    <w:p w14:paraId="55EC07E9" w14:textId="1125B639" w:rsidR="003768D2" w:rsidRPr="001C2E60" w:rsidRDefault="003768D2" w:rsidP="00157DC2">
      <w:pPr>
        <w:pStyle w:val="FootnoteText"/>
      </w:pPr>
      <w:r w:rsidRPr="00E53472">
        <w:rPr>
          <w:rStyle w:val="FootnoteReference"/>
          <w:vertAlign w:val="baseline"/>
        </w:rPr>
        <w:footnoteRef/>
      </w:r>
      <w:r w:rsidRPr="001C2E60">
        <w:t xml:space="preserve"> </w:t>
      </w:r>
      <w:r>
        <w:tab/>
      </w:r>
      <w:proofErr w:type="spellStart"/>
      <w:r>
        <w:rPr>
          <w:szCs w:val="18"/>
        </w:rPr>
        <w:t>Asprey</w:t>
      </w:r>
      <w:proofErr w:type="spellEnd"/>
      <w:r>
        <w:rPr>
          <w:szCs w:val="18"/>
        </w:rPr>
        <w:t xml:space="preserve">, K (Chairman), Lloyd, J, Parsons, R and Wood, K 1975, </w:t>
      </w:r>
      <w:r>
        <w:rPr>
          <w:i/>
          <w:iCs/>
          <w:szCs w:val="18"/>
        </w:rPr>
        <w:t xml:space="preserve">Taxation Review Committee — Full Report (The </w:t>
      </w:r>
      <w:proofErr w:type="spellStart"/>
      <w:r>
        <w:rPr>
          <w:i/>
          <w:iCs/>
          <w:szCs w:val="18"/>
        </w:rPr>
        <w:t>Asprey</w:t>
      </w:r>
      <w:proofErr w:type="spellEnd"/>
      <w:r>
        <w:rPr>
          <w:i/>
          <w:iCs/>
          <w:szCs w:val="18"/>
        </w:rPr>
        <w:t xml:space="preserve"> Review), </w:t>
      </w:r>
      <w:r>
        <w:rPr>
          <w:szCs w:val="18"/>
        </w:rPr>
        <w:t>AGPS, Canberra</w:t>
      </w:r>
      <w:r w:rsidRPr="001C2E60">
        <w:t>, pages 12</w:t>
      </w:r>
      <w:r>
        <w:noBreakHyphen/>
      </w:r>
      <w:r w:rsidRPr="001C2E60">
        <w:t>15.</w:t>
      </w:r>
    </w:p>
  </w:footnote>
  <w:footnote w:id="3">
    <w:p w14:paraId="5AF86AC2" w14:textId="35544674" w:rsidR="003768D2" w:rsidRPr="001C2E60" w:rsidRDefault="003768D2" w:rsidP="00157DC2">
      <w:pPr>
        <w:pStyle w:val="FootnoteText"/>
      </w:pPr>
      <w:r w:rsidRPr="00E53472">
        <w:rPr>
          <w:rStyle w:val="FootnoteReference"/>
          <w:vertAlign w:val="baseline"/>
        </w:rPr>
        <w:footnoteRef/>
      </w:r>
      <w:r w:rsidRPr="001C2E60">
        <w:t xml:space="preserve"> </w:t>
      </w:r>
      <w:r>
        <w:tab/>
      </w:r>
      <w:r w:rsidRPr="001C2E60">
        <w:t xml:space="preserve">House of Commons Treasury Committee 2011, </w:t>
      </w:r>
      <w:r w:rsidRPr="001C2E60">
        <w:rPr>
          <w:i/>
        </w:rPr>
        <w:t>Principles of tax policy</w:t>
      </w:r>
      <w:r w:rsidRPr="001C2E60">
        <w:t>, The Stationery Office by Order of the House, London.</w:t>
      </w:r>
    </w:p>
  </w:footnote>
  <w:footnote w:id="4">
    <w:p w14:paraId="07246AA6" w14:textId="0A0C67F0" w:rsidR="003768D2" w:rsidRPr="001C2E60" w:rsidRDefault="003768D2" w:rsidP="00157DC2">
      <w:pPr>
        <w:pStyle w:val="FootnoteText"/>
      </w:pPr>
      <w:r w:rsidRPr="00E53472">
        <w:rPr>
          <w:rStyle w:val="FootnoteReference"/>
          <w:vertAlign w:val="baseline"/>
        </w:rPr>
        <w:footnoteRef/>
      </w:r>
      <w:r w:rsidRPr="001C2E60">
        <w:t xml:space="preserve"> </w:t>
      </w:r>
      <w:r>
        <w:tab/>
      </w:r>
      <w:proofErr w:type="gramStart"/>
      <w:r w:rsidRPr="001C2E60">
        <w:t xml:space="preserve">Australian Government 2010, </w:t>
      </w:r>
      <w:r w:rsidRPr="001C2E60">
        <w:rPr>
          <w:i/>
        </w:rPr>
        <w:t>Australia</w:t>
      </w:r>
      <w:r>
        <w:rPr>
          <w:i/>
        </w:rPr>
        <w:t>’</w:t>
      </w:r>
      <w:r w:rsidRPr="001C2E60">
        <w:rPr>
          <w:i/>
        </w:rPr>
        <w:t xml:space="preserve">s Future Taxation System Review (Henry Tax review), </w:t>
      </w:r>
      <w:r w:rsidRPr="001C2E60">
        <w:t>Australian Government, Canberra, page 17.</w:t>
      </w:r>
      <w:proofErr w:type="gramEnd"/>
    </w:p>
  </w:footnote>
  <w:footnote w:id="5">
    <w:p w14:paraId="78BCEE54" w14:textId="1839AF13" w:rsidR="003768D2" w:rsidRPr="00A721DC" w:rsidRDefault="003768D2">
      <w:pPr>
        <w:pStyle w:val="FootnoteText"/>
      </w:pPr>
      <w:r w:rsidRPr="00E53472">
        <w:rPr>
          <w:rStyle w:val="FootnoteReference"/>
          <w:vertAlign w:val="baseline"/>
        </w:rPr>
        <w:footnoteRef/>
      </w:r>
      <w:r w:rsidRPr="00A721DC">
        <w:t xml:space="preserve"> </w:t>
      </w:r>
      <w:r w:rsidRPr="00A721DC">
        <w:tab/>
      </w:r>
      <w:proofErr w:type="gramStart"/>
      <w:r w:rsidRPr="00A721DC">
        <w:t xml:space="preserve">Australian Government 2010, </w:t>
      </w:r>
      <w:r w:rsidRPr="00416462">
        <w:rPr>
          <w:i/>
        </w:rPr>
        <w:t>Australia</w:t>
      </w:r>
      <w:r>
        <w:rPr>
          <w:i/>
        </w:rPr>
        <w:t>’</w:t>
      </w:r>
      <w:r w:rsidRPr="00416462">
        <w:rPr>
          <w:i/>
        </w:rPr>
        <w:t>s Future Tax System Review (Henry Tax Review)</w:t>
      </w:r>
      <w:r w:rsidRPr="00A721DC">
        <w:t>, Australian Government, Canberra.</w:t>
      </w:r>
      <w:proofErr w:type="gramEnd"/>
    </w:p>
  </w:footnote>
  <w:footnote w:id="6">
    <w:p w14:paraId="7D136521" w14:textId="00F52584" w:rsidR="003768D2" w:rsidRPr="001C2E60" w:rsidRDefault="003768D2" w:rsidP="00CA78A6">
      <w:pPr>
        <w:pStyle w:val="FootnoteText"/>
      </w:pPr>
      <w:r w:rsidRPr="00E53472">
        <w:rPr>
          <w:rStyle w:val="FootnoteReference"/>
          <w:vertAlign w:val="baseline"/>
        </w:rPr>
        <w:footnoteRef/>
      </w:r>
      <w:r w:rsidRPr="00A721DC">
        <w:t xml:space="preserve"> </w:t>
      </w:r>
      <w:r w:rsidRPr="00A721DC">
        <w:tab/>
        <w:t xml:space="preserve">ABS 2006, </w:t>
      </w:r>
      <w:r w:rsidRPr="00A721DC">
        <w:rPr>
          <w:i/>
        </w:rPr>
        <w:t>Australian System of Government</w:t>
      </w:r>
      <w:r w:rsidRPr="001C2E60">
        <w:rPr>
          <w:i/>
        </w:rPr>
        <w:t xml:space="preserve"> Finance Statistics: Concepts, Sources and Methods, 2005,</w:t>
      </w:r>
      <w:r w:rsidRPr="001C2E60">
        <w:t xml:space="preserve"> </w:t>
      </w:r>
      <w:r>
        <w:t>cat. </w:t>
      </w:r>
      <w:proofErr w:type="gramStart"/>
      <w:r w:rsidRPr="001C2E60">
        <w:t>no. 5514.0.55.001, ABS, Canberra.</w:t>
      </w:r>
      <w:proofErr w:type="gramEnd"/>
    </w:p>
  </w:footnote>
  <w:footnote w:id="7">
    <w:p w14:paraId="51952D09" w14:textId="136E4D02" w:rsidR="003768D2" w:rsidRPr="001C2E60" w:rsidRDefault="003768D2" w:rsidP="00CA78A6">
      <w:pPr>
        <w:pStyle w:val="FootnoteText"/>
      </w:pPr>
      <w:r w:rsidRPr="00E53472">
        <w:rPr>
          <w:rStyle w:val="FootnoteReference"/>
          <w:vertAlign w:val="baseline"/>
        </w:rPr>
        <w:footnoteRef/>
      </w:r>
      <w:r w:rsidRPr="001C2E60">
        <w:t xml:space="preserve"> </w:t>
      </w:r>
      <w:r w:rsidRPr="001C2E60">
        <w:tab/>
      </w:r>
      <w:proofErr w:type="gramStart"/>
      <w:r w:rsidRPr="001C2E60">
        <w:t>Treasury calculations using State and Territory Final Budget Outcomes</w:t>
      </w:r>
      <w:r>
        <w:t xml:space="preserve"> (or equivalents).</w:t>
      </w:r>
      <w:proofErr w:type="gramEnd"/>
      <w:r>
        <w:t xml:space="preserve"> See Chapter 8</w:t>
      </w:r>
      <w:r w:rsidRPr="001C2E60">
        <w:t xml:space="preserve"> for full bibliographic details.</w:t>
      </w:r>
    </w:p>
  </w:footnote>
  <w:footnote w:id="8">
    <w:p w14:paraId="330A1DCE" w14:textId="47D50EA6" w:rsidR="003768D2" w:rsidRPr="00CA78A6" w:rsidRDefault="003768D2" w:rsidP="00CA78A6">
      <w:pPr>
        <w:pStyle w:val="FootnoteText"/>
      </w:pPr>
      <w:r w:rsidRPr="00E53472">
        <w:rPr>
          <w:rStyle w:val="FootnoteReference"/>
          <w:vertAlign w:val="baseline"/>
        </w:rPr>
        <w:footnoteRef/>
      </w:r>
      <w:r w:rsidRPr="00CA78A6">
        <w:t xml:space="preserve"> </w:t>
      </w:r>
      <w:r w:rsidRPr="00CA78A6">
        <w:tab/>
        <w:t>Unlike taxes, which are unrequited transfers, royalties are a charge for the right to extract a mineral resource and, as such, are not classified as taxes.</w:t>
      </w:r>
    </w:p>
  </w:footnote>
  <w:footnote w:id="9">
    <w:p w14:paraId="45E8DCA6" w14:textId="1242D3E7" w:rsidR="003768D2" w:rsidRPr="00A721DC" w:rsidRDefault="003768D2" w:rsidP="005134B5">
      <w:pPr>
        <w:pStyle w:val="FootnoteText"/>
      </w:pPr>
      <w:r w:rsidRPr="00E53472">
        <w:rPr>
          <w:rStyle w:val="FootnoteReference"/>
          <w:vertAlign w:val="baseline"/>
        </w:rPr>
        <w:footnoteRef/>
      </w:r>
      <w:r w:rsidRPr="00A721DC">
        <w:t xml:space="preserve"> </w:t>
      </w:r>
      <w:r w:rsidRPr="00A721DC">
        <w:tab/>
        <w:t>In this discussion paper, comparisons with other developed countries generally utilise data from the Organisation for Economic Cooperation and Development (OECD).</w:t>
      </w:r>
    </w:p>
  </w:footnote>
  <w:footnote w:id="10">
    <w:p w14:paraId="35157D6B" w14:textId="080D9D80" w:rsidR="003768D2" w:rsidRDefault="003768D2" w:rsidP="0080347B">
      <w:pPr>
        <w:pStyle w:val="FootnoteText"/>
      </w:pPr>
      <w:r w:rsidRPr="00E53472">
        <w:rPr>
          <w:rStyle w:val="FootnoteReference"/>
          <w:vertAlign w:val="baseline"/>
        </w:rPr>
        <w:footnoteRef/>
      </w:r>
      <w:r w:rsidRPr="00A721DC">
        <w:tab/>
        <w:t>The OECD defines a tax as a compulsory and unrequited transfer to government. See the OECD</w:t>
      </w:r>
      <w:r>
        <w:t>’</w:t>
      </w:r>
      <w:r w:rsidRPr="00A721DC">
        <w:t xml:space="preserve">s glossary of tax terms: </w:t>
      </w:r>
      <w:hyperlink r:id="rId1" w:history="1">
        <w:r w:rsidRPr="00DE1305">
          <w:rPr>
            <w:rStyle w:val="Hyperlink"/>
          </w:rPr>
          <w:t>www.oecd.org/ctp/glossaryoftaxterms.htm</w:t>
        </w:r>
      </w:hyperlink>
      <w:r>
        <w:rPr>
          <w:rStyle w:val="Hyperlink"/>
        </w:rPr>
        <w:t>.</w:t>
      </w:r>
      <w:r>
        <w:t xml:space="preserve"> </w:t>
      </w:r>
    </w:p>
  </w:footnote>
  <w:footnote w:id="11">
    <w:p w14:paraId="3A57EF66" w14:textId="0AA63CE0" w:rsidR="003768D2" w:rsidRPr="00CA78A6" w:rsidRDefault="003768D2" w:rsidP="00CA78A6">
      <w:pPr>
        <w:pStyle w:val="FootnoteText"/>
      </w:pPr>
      <w:r w:rsidRPr="00E53472">
        <w:rPr>
          <w:rStyle w:val="FootnoteReference"/>
          <w:vertAlign w:val="baseline"/>
        </w:rPr>
        <w:footnoteRef/>
      </w:r>
      <w:r w:rsidRPr="00CA78A6">
        <w:t xml:space="preserve"> </w:t>
      </w:r>
      <w:r w:rsidRPr="00CA78A6">
        <w:tab/>
        <w:t xml:space="preserve">OECD 2010, </w:t>
      </w:r>
      <w:r w:rsidRPr="008149BD">
        <w:rPr>
          <w:i/>
        </w:rPr>
        <w:t>Tax Policy Reform and Economic Growth</w:t>
      </w:r>
      <w:r w:rsidRPr="00CA78A6">
        <w:t xml:space="preserve">, </w:t>
      </w:r>
      <w:r>
        <w:t>t</w:t>
      </w:r>
      <w:r w:rsidRPr="00CA78A6">
        <w:t xml:space="preserve">ax </w:t>
      </w:r>
      <w:r>
        <w:t>p</w:t>
      </w:r>
      <w:r w:rsidRPr="00CA78A6">
        <w:t xml:space="preserve">olicy </w:t>
      </w:r>
      <w:r>
        <w:t>s</w:t>
      </w:r>
      <w:r w:rsidRPr="00CA78A6">
        <w:t xml:space="preserve">tudies </w:t>
      </w:r>
      <w:r>
        <w:t>no.</w:t>
      </w:r>
      <w:r w:rsidRPr="00CA78A6">
        <w:t xml:space="preserve"> 20, OECD, Paris.</w:t>
      </w:r>
    </w:p>
  </w:footnote>
  <w:footnote w:id="12">
    <w:p w14:paraId="0B8B6CB8" w14:textId="2B3609F6" w:rsidR="003768D2" w:rsidRPr="00CA78A6" w:rsidRDefault="003768D2" w:rsidP="00CA78A6">
      <w:pPr>
        <w:pStyle w:val="FootnoteText"/>
      </w:pPr>
      <w:r w:rsidRPr="00E53472">
        <w:rPr>
          <w:rStyle w:val="FootnoteReference"/>
          <w:vertAlign w:val="baseline"/>
        </w:rPr>
        <w:footnoteRef/>
      </w:r>
      <w:r w:rsidRPr="00CA78A6">
        <w:t xml:space="preserve"> </w:t>
      </w:r>
      <w:r w:rsidRPr="00CA78A6">
        <w:tab/>
        <w:t xml:space="preserve">The </w:t>
      </w:r>
      <w:r>
        <w:t>‘</w:t>
      </w:r>
      <w:r w:rsidRPr="00CA78A6">
        <w:t>marginal excess burden</w:t>
      </w:r>
      <w:r>
        <w:t>’</w:t>
      </w:r>
      <w:r w:rsidRPr="00CA78A6">
        <w:t xml:space="preserve"> is a measure of some of the economic costs associated with a tax on the aggregate welfare of Australian households. In particular, the measure ex</w:t>
      </w:r>
      <w:r>
        <w:t xml:space="preserve">amines the impact of raising an </w:t>
      </w:r>
      <w:r w:rsidRPr="00CA78A6">
        <w:t>additional $1 of revenue on the level of consumption of goods and services by households, as well as time for leisure.</w:t>
      </w:r>
    </w:p>
  </w:footnote>
  <w:footnote w:id="13">
    <w:p w14:paraId="04AB6993" w14:textId="5989E198" w:rsidR="003768D2" w:rsidRPr="00A721DC" w:rsidRDefault="003768D2" w:rsidP="00CA78A6">
      <w:pPr>
        <w:pStyle w:val="FootnoteText"/>
      </w:pPr>
      <w:r w:rsidRPr="00E53472">
        <w:rPr>
          <w:rStyle w:val="FootnoteReference"/>
          <w:vertAlign w:val="baseline"/>
        </w:rPr>
        <w:footnoteRef/>
      </w:r>
      <w:r w:rsidRPr="00A721DC">
        <w:t xml:space="preserve"> </w:t>
      </w:r>
      <w:r w:rsidRPr="00A721DC">
        <w:tab/>
        <w:t xml:space="preserve">Cao, L, Hosking, A, Kouparitsas, M, Mullaly, D, Rimmer, X, Shi, Q, Stark, W, and Wende, S, </w:t>
      </w:r>
      <w:r w:rsidRPr="009D0589">
        <w:t>forthcoming</w:t>
      </w:r>
      <w:r w:rsidRPr="00A721DC">
        <w:t xml:space="preserve">, </w:t>
      </w:r>
      <w:r w:rsidRPr="00A721DC">
        <w:rPr>
          <w:i/>
        </w:rPr>
        <w:t>Understanding the economy</w:t>
      </w:r>
      <w:r>
        <w:rPr>
          <w:i/>
        </w:rPr>
        <w:noBreakHyphen/>
      </w:r>
      <w:r w:rsidRPr="00A721DC">
        <w:rPr>
          <w:i/>
        </w:rPr>
        <w:t>wide efficiency and incidence of major Australian taxes</w:t>
      </w:r>
      <w:r w:rsidRPr="00A721DC">
        <w:t>, Australian Treasury working paper, Treasury, Canberra.</w:t>
      </w:r>
    </w:p>
  </w:footnote>
  <w:footnote w:id="14">
    <w:p w14:paraId="71776192" w14:textId="636C8297" w:rsidR="003768D2" w:rsidRPr="00CA78A6" w:rsidRDefault="003768D2" w:rsidP="00CA78A6">
      <w:pPr>
        <w:pStyle w:val="FootnoteText"/>
      </w:pPr>
      <w:r w:rsidRPr="00E53472">
        <w:rPr>
          <w:rStyle w:val="FootnoteReference"/>
          <w:vertAlign w:val="baseline"/>
        </w:rPr>
        <w:footnoteRef/>
      </w:r>
      <w:r w:rsidRPr="00A721DC">
        <w:t xml:space="preserve"> </w:t>
      </w:r>
      <w:r w:rsidRPr="00A721DC">
        <w:tab/>
        <w:t xml:space="preserve">KPMG </w:t>
      </w:r>
      <w:proofErr w:type="spellStart"/>
      <w:r w:rsidRPr="00A721DC">
        <w:t>Econtech</w:t>
      </w:r>
      <w:proofErr w:type="spellEnd"/>
      <w:r w:rsidRPr="00A721DC">
        <w:t xml:space="preserve"> 2010, </w:t>
      </w:r>
      <w:r w:rsidRPr="00A721DC">
        <w:rPr>
          <w:i/>
        </w:rPr>
        <w:t>CGE analysis of the current Australian tax system — Report for the Australia</w:t>
      </w:r>
      <w:r>
        <w:rPr>
          <w:i/>
        </w:rPr>
        <w:t>’</w:t>
      </w:r>
      <w:r w:rsidRPr="00A721DC">
        <w:rPr>
          <w:i/>
        </w:rPr>
        <w:t>s Future Tax System review</w:t>
      </w:r>
      <w:r w:rsidRPr="00A721DC">
        <w:t xml:space="preserve">, KPMG </w:t>
      </w:r>
      <w:proofErr w:type="spellStart"/>
      <w:r w:rsidRPr="00A721DC">
        <w:t>Econtech</w:t>
      </w:r>
      <w:proofErr w:type="spellEnd"/>
      <w:r w:rsidRPr="00A721DC">
        <w:t>, Canberra;</w:t>
      </w:r>
      <w:r w:rsidRPr="00CA78A6">
        <w:t xml:space="preserve"> KPMG </w:t>
      </w:r>
      <w:proofErr w:type="spellStart"/>
      <w:r w:rsidRPr="00CA78A6">
        <w:t>Econtech</w:t>
      </w:r>
      <w:proofErr w:type="spellEnd"/>
      <w:r w:rsidRPr="00CA78A6">
        <w:t xml:space="preserve"> 2011, </w:t>
      </w:r>
      <w:r w:rsidRPr="008149BD">
        <w:rPr>
          <w:i/>
        </w:rPr>
        <w:t xml:space="preserve">Economic </w:t>
      </w:r>
      <w:r>
        <w:rPr>
          <w:i/>
        </w:rPr>
        <w:t>a</w:t>
      </w:r>
      <w:r w:rsidRPr="008149BD">
        <w:rPr>
          <w:i/>
        </w:rPr>
        <w:t>nalysis of the impacts of using GST to reform taxes — Report for the CPA Australia</w:t>
      </w:r>
      <w:r>
        <w:t>,</w:t>
      </w:r>
      <w:r w:rsidRPr="00CA78A6">
        <w:t xml:space="preserve"> KPMG </w:t>
      </w:r>
      <w:proofErr w:type="spellStart"/>
      <w:r w:rsidRPr="00CA78A6">
        <w:t>Econtech</w:t>
      </w:r>
      <w:proofErr w:type="spellEnd"/>
      <w:r w:rsidRPr="00CA78A6">
        <w:t xml:space="preserve">, Canberra; and </w:t>
      </w:r>
      <w:r>
        <w:t>NSW </w:t>
      </w:r>
      <w:r w:rsidRPr="00CA78A6">
        <w:t xml:space="preserve">Treasury 2012, </w:t>
      </w:r>
      <w:r w:rsidRPr="008149BD">
        <w:rPr>
          <w:i/>
        </w:rPr>
        <w:t>NSW Financial Audit 2011 (Lambert review)</w:t>
      </w:r>
      <w:r w:rsidRPr="00CA78A6">
        <w:t>, Volume 2, Chapter 13, NSW Treasury, Sydney.</w:t>
      </w:r>
    </w:p>
  </w:footnote>
  <w:footnote w:id="15">
    <w:p w14:paraId="55447552" w14:textId="516A3467" w:rsidR="003768D2" w:rsidRPr="00A721DC" w:rsidRDefault="003768D2" w:rsidP="00CA78A6">
      <w:pPr>
        <w:pStyle w:val="FootnoteText"/>
      </w:pPr>
      <w:r w:rsidRPr="00E53472">
        <w:rPr>
          <w:rStyle w:val="FootnoteReference"/>
          <w:vertAlign w:val="baseline"/>
        </w:rPr>
        <w:footnoteRef/>
      </w:r>
      <w:r w:rsidRPr="00CA78A6">
        <w:t xml:space="preserve"> </w:t>
      </w:r>
      <w:r w:rsidRPr="00CA78A6">
        <w:tab/>
        <w:t>Independent Economics also recently estimated a similar marginal excess burden for a broad</w:t>
      </w:r>
      <w:r>
        <w:noBreakHyphen/>
      </w:r>
      <w:r w:rsidRPr="00CA78A6">
        <w:t xml:space="preserve">based land tax. See Independent Economics 2014, </w:t>
      </w:r>
      <w:r w:rsidRPr="008149BD">
        <w:rPr>
          <w:i/>
        </w:rPr>
        <w:t xml:space="preserve">Economic impacts of negative gearing of residential property — report </w:t>
      </w:r>
      <w:r w:rsidRPr="00A721DC">
        <w:rPr>
          <w:i/>
        </w:rPr>
        <w:t>for the Housing Industry Association</w:t>
      </w:r>
      <w:r w:rsidRPr="00A721DC">
        <w:t xml:space="preserve">, Independent Economics, </w:t>
      </w:r>
      <w:proofErr w:type="gramStart"/>
      <w:r w:rsidRPr="00A721DC">
        <w:t>Canberra</w:t>
      </w:r>
      <w:proofErr w:type="gramEnd"/>
      <w:r w:rsidRPr="00A721DC">
        <w:t>.</w:t>
      </w:r>
    </w:p>
  </w:footnote>
  <w:footnote w:id="16">
    <w:p w14:paraId="7ED68C22" w14:textId="66082918" w:rsidR="003768D2" w:rsidRPr="00CA78A6" w:rsidRDefault="003768D2" w:rsidP="00CA78A6">
      <w:pPr>
        <w:pStyle w:val="FootnoteText"/>
      </w:pPr>
      <w:r w:rsidRPr="00E53472">
        <w:rPr>
          <w:rStyle w:val="FootnoteReference"/>
          <w:vertAlign w:val="baseline"/>
        </w:rPr>
        <w:footnoteRef/>
      </w:r>
      <w:r w:rsidRPr="00A721DC">
        <w:t xml:space="preserve"> </w:t>
      </w:r>
      <w:r w:rsidRPr="00A721DC">
        <w:tab/>
        <w:t xml:space="preserve">Cao, L, Hosking, A, Kouparitsas, M, Mullaly, D, Rimmer, X, Shi, Q, Stark, W, and Wende, S, </w:t>
      </w:r>
      <w:r w:rsidRPr="009D0589">
        <w:t>forthcoming</w:t>
      </w:r>
      <w:r w:rsidRPr="00A721DC">
        <w:t xml:space="preserve">, </w:t>
      </w:r>
      <w:r w:rsidRPr="00A721DC">
        <w:rPr>
          <w:i/>
        </w:rPr>
        <w:t>Understanding the economy</w:t>
      </w:r>
      <w:r>
        <w:rPr>
          <w:i/>
        </w:rPr>
        <w:noBreakHyphen/>
      </w:r>
      <w:r w:rsidRPr="00A721DC">
        <w:rPr>
          <w:i/>
        </w:rPr>
        <w:t>wide efficiency and incidence of major Australian taxes</w:t>
      </w:r>
      <w:r w:rsidRPr="00A721DC">
        <w:t xml:space="preserve">, Australian Treasury working paper, Australian Treasury, Canberra; and Rimmer, X, Smith, J, and Wende, S 2014, </w:t>
      </w:r>
      <w:r>
        <w:t>‘</w:t>
      </w:r>
      <w:r w:rsidRPr="00A721DC">
        <w:t>The incidence of company tax in Australia</w:t>
      </w:r>
      <w:r>
        <w:t>’</w:t>
      </w:r>
      <w:r w:rsidRPr="00A721DC">
        <w:t xml:space="preserve">, </w:t>
      </w:r>
      <w:r w:rsidRPr="00A721DC">
        <w:rPr>
          <w:i/>
        </w:rPr>
        <w:t>Economic Roundup</w:t>
      </w:r>
      <w:r w:rsidRPr="00A721DC">
        <w:t>, issue 1, 2014, Australian Treasury, Canberra, pages 33</w:t>
      </w:r>
      <w:r>
        <w:noBreakHyphen/>
      </w:r>
      <w:r w:rsidRPr="00A721DC">
        <w:t>47.</w:t>
      </w:r>
    </w:p>
  </w:footnote>
  <w:footnote w:id="17">
    <w:p w14:paraId="61A8337B" w14:textId="35219FD0" w:rsidR="003768D2" w:rsidRPr="00CA78A6" w:rsidRDefault="003768D2" w:rsidP="00CA78A6">
      <w:pPr>
        <w:pStyle w:val="FootnoteText"/>
      </w:pPr>
      <w:r w:rsidRPr="00E53472">
        <w:rPr>
          <w:rStyle w:val="FootnoteReference"/>
          <w:vertAlign w:val="baseline"/>
        </w:rPr>
        <w:footnoteRef/>
      </w:r>
      <w:r w:rsidRPr="00CA78A6">
        <w:t xml:space="preserve"> </w:t>
      </w:r>
      <w:r w:rsidRPr="00CA78A6">
        <w:tab/>
        <w:t xml:space="preserve">Australian Taxation Office (ATO) 2014, </w:t>
      </w:r>
      <w:r w:rsidRPr="008149BD">
        <w:rPr>
          <w:i/>
        </w:rPr>
        <w:t>ATO Annual Report 2013</w:t>
      </w:r>
      <w:r>
        <w:rPr>
          <w:i/>
        </w:rPr>
        <w:noBreakHyphen/>
      </w:r>
      <w:r w:rsidRPr="008149BD">
        <w:rPr>
          <w:i/>
        </w:rPr>
        <w:t>14</w:t>
      </w:r>
      <w:r>
        <w:t>, ATO, Canberra, viewed 5 </w:t>
      </w:r>
      <w:r w:rsidRPr="00CA78A6">
        <w:t>December</w:t>
      </w:r>
      <w:r>
        <w:t> </w:t>
      </w:r>
      <w:r w:rsidRPr="00CA78A6">
        <w:t xml:space="preserve">2014: </w:t>
      </w:r>
      <w:hyperlink r:id="rId2" w:history="1">
        <w:r w:rsidRPr="003D7ABD">
          <w:rPr>
            <w:rStyle w:val="Hyperlink"/>
            <w:color w:val="31A7D4" w:themeColor="accent1"/>
          </w:rPr>
          <w:t>http://annualreport.ato.gov.au/01</w:t>
        </w:r>
        <w:r>
          <w:rPr>
            <w:rStyle w:val="Hyperlink"/>
            <w:color w:val="31A7D4" w:themeColor="accent1"/>
          </w:rPr>
          <w:noBreakHyphen/>
        </w:r>
        <w:r w:rsidRPr="003D7ABD">
          <w:rPr>
            <w:rStyle w:val="Hyperlink"/>
            <w:color w:val="31A7D4" w:themeColor="accent1"/>
          </w:rPr>
          <w:t>overview/commissioners</w:t>
        </w:r>
        <w:r>
          <w:rPr>
            <w:rStyle w:val="Hyperlink"/>
            <w:color w:val="31A7D4" w:themeColor="accent1"/>
          </w:rPr>
          <w:noBreakHyphen/>
        </w:r>
        <w:r w:rsidRPr="003D7ABD">
          <w:rPr>
            <w:rStyle w:val="Hyperlink"/>
            <w:color w:val="31A7D4" w:themeColor="accent1"/>
          </w:rPr>
          <w:t>review</w:t>
        </w:r>
      </w:hyperlink>
      <w:r>
        <w:rPr>
          <w:rStyle w:val="Hyperlink"/>
          <w:color w:val="31A7D4" w:themeColor="accent1"/>
        </w:rPr>
        <w:t>.</w:t>
      </w:r>
    </w:p>
  </w:footnote>
  <w:footnote w:id="18">
    <w:p w14:paraId="08D2A811" w14:textId="78465CD3" w:rsidR="003768D2" w:rsidRPr="00CA78A6" w:rsidRDefault="003768D2" w:rsidP="00CA78A6">
      <w:pPr>
        <w:pStyle w:val="FootnoteText"/>
      </w:pPr>
      <w:r w:rsidRPr="00E53472">
        <w:rPr>
          <w:rStyle w:val="FootnoteReference"/>
          <w:vertAlign w:val="baseline"/>
        </w:rPr>
        <w:footnoteRef/>
      </w:r>
      <w:r w:rsidRPr="00CA78A6">
        <w:t xml:space="preserve"> </w:t>
      </w:r>
      <w:r w:rsidRPr="00CA78A6">
        <w:tab/>
      </w:r>
      <w:proofErr w:type="gramStart"/>
      <w:r w:rsidRPr="00CA78A6">
        <w:t xml:space="preserve">ATO analysis of commissioned </w:t>
      </w:r>
      <w:proofErr w:type="spellStart"/>
      <w:r w:rsidRPr="00CA78A6">
        <w:t>Newspoll</w:t>
      </w:r>
      <w:proofErr w:type="spellEnd"/>
      <w:r w:rsidRPr="00CA78A6">
        <w:t xml:space="preserve"> survey data relating to the 2011</w:t>
      </w:r>
      <w:r>
        <w:noBreakHyphen/>
      </w:r>
      <w:r w:rsidRPr="00CA78A6">
        <w:t>12 tax year, to be presented at a forthcoming conference in 2015.</w:t>
      </w:r>
      <w:proofErr w:type="gramEnd"/>
    </w:p>
  </w:footnote>
  <w:footnote w:id="19">
    <w:p w14:paraId="7F2CC897" w14:textId="02C812D2" w:rsidR="003768D2" w:rsidRPr="00CA78A6" w:rsidRDefault="003768D2" w:rsidP="00CA78A6">
      <w:pPr>
        <w:pStyle w:val="FootnoteText"/>
      </w:pPr>
      <w:r w:rsidRPr="00E53472">
        <w:rPr>
          <w:rStyle w:val="FootnoteReference"/>
          <w:vertAlign w:val="baseline"/>
        </w:rPr>
        <w:footnoteRef/>
      </w:r>
      <w:r w:rsidRPr="00CA78A6">
        <w:t xml:space="preserve"> </w:t>
      </w:r>
      <w:r w:rsidRPr="00CA78A6">
        <w:tab/>
      </w:r>
      <w:proofErr w:type="gramStart"/>
      <w:r w:rsidRPr="00CA78A6">
        <w:t xml:space="preserve">ATO 2014, </w:t>
      </w:r>
      <w:r w:rsidRPr="008149BD">
        <w:rPr>
          <w:i/>
        </w:rPr>
        <w:t>Taxation Statistics 2011</w:t>
      </w:r>
      <w:r>
        <w:rPr>
          <w:i/>
        </w:rPr>
        <w:noBreakHyphen/>
      </w:r>
      <w:r w:rsidRPr="008149BD">
        <w:rPr>
          <w:i/>
        </w:rPr>
        <w:t>12</w:t>
      </w:r>
      <w:r w:rsidRPr="00CA78A6">
        <w:t>, ATO, Canberra.</w:t>
      </w:r>
      <w:proofErr w:type="gramEnd"/>
    </w:p>
  </w:footnote>
  <w:footnote w:id="20">
    <w:p w14:paraId="155ABA6E" w14:textId="4D39653F" w:rsidR="003768D2" w:rsidRPr="00CA78A6" w:rsidRDefault="003768D2" w:rsidP="00CA78A6">
      <w:pPr>
        <w:pStyle w:val="FootnoteText"/>
      </w:pPr>
      <w:r w:rsidRPr="00E53472">
        <w:rPr>
          <w:rStyle w:val="FootnoteReference"/>
          <w:vertAlign w:val="baseline"/>
        </w:rPr>
        <w:footnoteRef/>
      </w:r>
      <w:r w:rsidRPr="00CA78A6">
        <w:t xml:space="preserve"> </w:t>
      </w:r>
      <w:r w:rsidRPr="00CA78A6">
        <w:tab/>
        <w:t xml:space="preserve">OECD 2014, </w:t>
      </w:r>
      <w:r w:rsidRPr="008149BD">
        <w:rPr>
          <w:i/>
        </w:rPr>
        <w:t>Taxing Wages</w:t>
      </w:r>
      <w:r w:rsidRPr="00CA78A6">
        <w:t xml:space="preserve">, OECD, Paris, </w:t>
      </w:r>
      <w:r>
        <w:t xml:space="preserve">viewed 21 November 2014: </w:t>
      </w:r>
      <w:hyperlink r:id="rId3" w:history="1">
        <w:r w:rsidRPr="003D7ABD">
          <w:rPr>
            <w:color w:val="31A7D4" w:themeColor="accent1"/>
          </w:rPr>
          <w:t>www.oecd.org/tax/tax</w:t>
        </w:r>
        <w:r>
          <w:rPr>
            <w:color w:val="31A7D4" w:themeColor="accent1"/>
          </w:rPr>
          <w:noBreakHyphen/>
        </w:r>
        <w:r w:rsidRPr="003D7ABD">
          <w:rPr>
            <w:color w:val="31A7D4" w:themeColor="accent1"/>
          </w:rPr>
          <w:t>policy/taxing</w:t>
        </w:r>
        <w:r>
          <w:rPr>
            <w:color w:val="31A7D4" w:themeColor="accent1"/>
          </w:rPr>
          <w:noBreakHyphen/>
        </w:r>
        <w:r w:rsidRPr="003D7ABD">
          <w:rPr>
            <w:color w:val="31A7D4" w:themeColor="accent1"/>
          </w:rPr>
          <w:t>wages.htm</w:t>
        </w:r>
      </w:hyperlink>
      <w:r>
        <w:rPr>
          <w:color w:val="31A7D4" w:themeColor="accent1"/>
        </w:rPr>
        <w:t>.</w:t>
      </w:r>
    </w:p>
  </w:footnote>
  <w:footnote w:id="21">
    <w:p w14:paraId="4544E101" w14:textId="5DB46E32" w:rsidR="003768D2" w:rsidRPr="00CA78A6" w:rsidRDefault="003768D2" w:rsidP="00CA78A6">
      <w:pPr>
        <w:pStyle w:val="FootnoteText"/>
      </w:pPr>
      <w:r w:rsidRPr="00E53472">
        <w:rPr>
          <w:rStyle w:val="FootnoteReference"/>
          <w:vertAlign w:val="baseline"/>
        </w:rPr>
        <w:footnoteRef/>
      </w:r>
      <w:r w:rsidRPr="00CA78A6">
        <w:rPr>
          <w:rStyle w:val="FootnoteReference"/>
          <w:vertAlign w:val="baseline"/>
        </w:rPr>
        <w:t xml:space="preserve"> </w:t>
      </w:r>
      <w:r w:rsidRPr="00CA78A6">
        <w:rPr>
          <w:rStyle w:val="FootnoteReference"/>
          <w:vertAlign w:val="baseline"/>
        </w:rPr>
        <w:tab/>
      </w:r>
      <w:proofErr w:type="gramStart"/>
      <w:r w:rsidRPr="00CA78A6">
        <w:t>Includes Accident Compensation Corporation earner</w:t>
      </w:r>
      <w:r>
        <w:t>’</w:t>
      </w:r>
      <w:r w:rsidRPr="00CA78A6">
        <w:t>s levy.</w:t>
      </w:r>
      <w:proofErr w:type="gramEnd"/>
    </w:p>
  </w:footnote>
  <w:footnote w:id="22">
    <w:p w14:paraId="7663FA64" w14:textId="2880912E" w:rsidR="003768D2" w:rsidRPr="00CA78A6" w:rsidRDefault="003768D2" w:rsidP="00CA78A6">
      <w:pPr>
        <w:pStyle w:val="FootnoteText"/>
      </w:pPr>
      <w:r w:rsidRPr="00E53472">
        <w:rPr>
          <w:rStyle w:val="FootnoteReference"/>
          <w:vertAlign w:val="baseline"/>
        </w:rPr>
        <w:footnoteRef/>
      </w:r>
      <w:r w:rsidRPr="00CA78A6">
        <w:t xml:space="preserve"> </w:t>
      </w:r>
      <w:r w:rsidRPr="00CA78A6">
        <w:tab/>
      </w:r>
      <w:proofErr w:type="gramStart"/>
      <w:r w:rsidRPr="00CA78A6">
        <w:t>Includes Medicare levy and low</w:t>
      </w:r>
      <w:r>
        <w:noBreakHyphen/>
      </w:r>
      <w:r w:rsidRPr="00CA78A6">
        <w:t>income tax offset.</w:t>
      </w:r>
      <w:proofErr w:type="gramEnd"/>
      <w:r w:rsidRPr="00CA78A6">
        <w:t xml:space="preserve"> </w:t>
      </w:r>
    </w:p>
  </w:footnote>
  <w:footnote w:id="23">
    <w:p w14:paraId="5E74A827" w14:textId="2F70738C" w:rsidR="003768D2" w:rsidRPr="00CA78A6" w:rsidRDefault="003768D2" w:rsidP="00CA78A6">
      <w:pPr>
        <w:pStyle w:val="FootnoteText"/>
      </w:pPr>
      <w:r w:rsidRPr="00E53472">
        <w:rPr>
          <w:rStyle w:val="FootnoteReference"/>
          <w:vertAlign w:val="baseline"/>
        </w:rPr>
        <w:footnoteRef/>
      </w:r>
      <w:r w:rsidRPr="00CA78A6">
        <w:t xml:space="preserve"> </w:t>
      </w:r>
      <w:r w:rsidRPr="00CA78A6">
        <w:tab/>
        <w:t xml:space="preserve">This is because any capital gain from the family home and the benefit the household receives compared to a corresponding household living in a rental dwelling (commonly referred to as </w:t>
      </w:r>
      <w:r>
        <w:t>‘</w:t>
      </w:r>
      <w:r w:rsidRPr="00CA78A6">
        <w:t>imputed rent</w:t>
      </w:r>
      <w:r>
        <w:t>’</w:t>
      </w:r>
      <w:r w:rsidRPr="00CA78A6">
        <w:t>) are not taxed.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CF8CA" w14:textId="4C2823B9" w:rsidR="003768D2" w:rsidRDefault="0068169D" w:rsidP="00F50305">
    <w:pPr>
      <w:pStyle w:val="HeaderEven"/>
    </w:pPr>
    <w:fldSimple w:instr=" TITLE   \* MERGEFORMAT ">
      <w:r>
        <w:t>Tax Discussion Paper</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13F95" w14:textId="7D2C1AAC" w:rsidR="003768D2" w:rsidRDefault="003768D2">
    <w:pPr>
      <w:pStyle w:val="Header"/>
    </w:pPr>
    <w:r>
      <w:t>Australia’s tax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DA695" w14:textId="7EAC88A1" w:rsidR="003768D2" w:rsidRDefault="003768D2">
    <w:pPr>
      <w:pStyle w:val="Header"/>
    </w:pPr>
    <w:r w:rsidRPr="009B64BA">
      <w:rPr>
        <w:noProof/>
        <w:sz w:val="12"/>
        <w:szCs w:val="12"/>
      </w:rPr>
      <mc:AlternateContent>
        <mc:Choice Requires="wps">
          <w:drawing>
            <wp:anchor distT="0" distB="0" distL="114300" distR="114300" simplePos="0" relativeHeight="251659264" behindDoc="1" locked="0" layoutInCell="1" allowOverlap="1" wp14:anchorId="3C0274E9" wp14:editId="7E9054EF">
              <wp:simplePos x="0" y="0"/>
              <wp:positionH relativeFrom="column">
                <wp:posOffset>-919480</wp:posOffset>
              </wp:positionH>
              <wp:positionV relativeFrom="paragraph">
                <wp:posOffset>-459740</wp:posOffset>
              </wp:positionV>
              <wp:extent cx="7595870" cy="1620000"/>
              <wp:effectExtent l="0" t="0" r="5080" b="0"/>
              <wp:wrapNone/>
              <wp:docPr id="2" name="Rectangle 2"/>
              <wp:cNvGraphicFramePr/>
              <a:graphic xmlns:a="http://schemas.openxmlformats.org/drawingml/2006/main">
                <a:graphicData uri="http://schemas.microsoft.com/office/word/2010/wordprocessingShape">
                  <wps:wsp>
                    <wps:cNvSpPr/>
                    <wps:spPr>
                      <a:xfrm>
                        <a:off x="0" y="0"/>
                        <a:ext cx="7595870" cy="16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2.4pt;margin-top:-36.2pt;width:598.1pt;height:1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" fillcolor="#31a7d4 [320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408"/>
    <w:multiLevelType w:val="multilevel"/>
    <w:tmpl w:val="9880E92E"/>
    <w:name w:val="ChartTableFootnoteAlph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2449A0"/>
    <w:multiLevelType w:val="hybridMultilevel"/>
    <w:tmpl w:val="F5B02BBE"/>
    <w:name w:val="HeadingList2233"/>
    <w:lvl w:ilvl="0" w:tplc="907EB6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476F8B"/>
    <w:multiLevelType w:val="multilevel"/>
    <w:tmpl w:val="3F782CE4"/>
    <w:name w:val="StandardNumberedList"/>
    <w:lvl w:ilvl="0">
      <w:start w:val="1"/>
      <w:numFmt w:val="decimal"/>
      <w:lvlText w:val="%1."/>
      <w:lvlJc w:val="left"/>
      <w:pPr>
        <w:tabs>
          <w:tab w:val="num" w:pos="520"/>
        </w:tabs>
        <w:ind w:left="520" w:hanging="520"/>
      </w:pPr>
      <w:rPr>
        <w:rFonts w:hint="default"/>
      </w:rPr>
    </w:lvl>
    <w:lvl w:ilvl="1">
      <w:start w:val="1"/>
      <w:numFmt w:val="decimal"/>
      <w:lvlText w:val="%1.%2."/>
      <w:lvlJc w:val="left"/>
      <w:pPr>
        <w:tabs>
          <w:tab w:val="num" w:pos="992"/>
        </w:tabs>
        <w:ind w:left="992" w:hanging="472"/>
      </w:pPr>
      <w:rPr>
        <w:rFonts w:hint="default"/>
        <w:color w:val="31A7D4" w:themeColor="accent1"/>
      </w:rPr>
    </w:lvl>
    <w:lvl w:ilvl="2">
      <w:start w:val="1"/>
      <w:numFmt w:val="decimal"/>
      <w:lvlText w:val="%1.%2.%3."/>
      <w:lvlJc w:val="left"/>
      <w:pPr>
        <w:tabs>
          <w:tab w:val="num" w:pos="1464"/>
        </w:tabs>
        <w:ind w:left="1464" w:hanging="47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ED3FC7"/>
    <w:multiLevelType w:val="multilevel"/>
    <w:tmpl w:val="F8BE2F76"/>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12B26652"/>
    <w:multiLevelType w:val="multilevel"/>
    <w:tmpl w:val="ABE0332C"/>
    <w:name w:val="HeadingList22322"/>
    <w:lvl w:ilvl="0">
      <w:start w:val="1"/>
      <w:numFmt w:val="decimal"/>
      <w:lvlText w:val="%1."/>
      <w:lvlJc w:val="left"/>
      <w:pPr>
        <w:ind w:left="357" w:hanging="357"/>
      </w:pPr>
      <w:rPr>
        <w:rFonts w:hint="default"/>
        <w:b/>
        <w:i w:val="0"/>
        <w:color w:val="31A7D4" w:themeColor="accent1"/>
      </w:rPr>
    </w:lvl>
    <w:lvl w:ilvl="1">
      <w:start w:val="1"/>
      <w:numFmt w:val="decimal"/>
      <w:pStyle w:val="Casestudyboxheading"/>
      <w:lvlText w:val="Box %1.%2"/>
      <w:lvlJc w:val="left"/>
      <w:pPr>
        <w:ind w:left="714"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b/>
        <w:i w: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8313C8F"/>
    <w:multiLevelType w:val="multilevel"/>
    <w:tmpl w:val="2BF25D06"/>
    <w:name w:val="StandardNumberedList23"/>
    <w:lvl w:ilvl="0">
      <w:start w:val="2"/>
      <w:numFmt w:val="decimal"/>
      <w:pStyle w:val="Heading1"/>
      <w:lvlText w:val="%1:"/>
      <w:lvlJc w:val="left"/>
      <w:pPr>
        <w:ind w:left="360" w:hanging="360"/>
      </w:pPr>
      <w:rPr>
        <w:rFonts w:hint="default"/>
        <w:b/>
        <w:i w:val="0"/>
        <w:color w:val="FFFFFF" w:themeColor="background2"/>
      </w:rPr>
    </w:lvl>
    <w:lvl w:ilvl="1">
      <w:start w:val="1"/>
      <w:numFmt w:val="decimal"/>
      <w:pStyle w:val="Heading2"/>
      <w:lvlText w:val="%1.%2:"/>
      <w:lvlJc w:val="left"/>
      <w:pPr>
        <w:ind w:left="792" w:hanging="432"/>
      </w:pPr>
      <w:rPr>
        <w:rFonts w:hint="default"/>
        <w:b/>
        <w:i w:val="0"/>
        <w:color w:val="31A7D4"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C960FD"/>
    <w:multiLevelType w:val="multilevel"/>
    <w:tmpl w:val="DA101CDC"/>
    <w:name w:val="OneLevelNumberedParagraphList"/>
    <w:lvl w:ilvl="0">
      <w:start w:val="1"/>
      <w:numFmt w:val="decimal"/>
      <w:lvlRestart w:val="0"/>
      <w:pStyle w:val="OneLevelNumberedParagraph"/>
      <w:lvlText w:val="%1."/>
      <w:lvlJc w:val="left"/>
      <w:pPr>
        <w:tabs>
          <w:tab w:val="num" w:pos="567"/>
        </w:tabs>
        <w:ind w:left="567" w:hanging="567"/>
      </w:pPr>
      <w:rPr>
        <w:rFonts w:ascii="Arial" w:hAnsi="Arial" w:cs="Arial"/>
        <w:b w:val="0"/>
        <w:i w:val="0"/>
        <w:color w:val="000000"/>
        <w:sz w:val="22"/>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7">
    <w:nsid w:val="19CE19E5"/>
    <w:multiLevelType w:val="hybridMultilevel"/>
    <w:tmpl w:val="F38CF138"/>
    <w:name w:val="HeadingList223"/>
    <w:lvl w:ilvl="0" w:tplc="A7EED274">
      <w:start w:val="1"/>
      <w:numFmt w:val="bullet"/>
      <w:pStyle w:val="Keyfinding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C86F61"/>
    <w:multiLevelType w:val="hybridMultilevel"/>
    <w:tmpl w:val="E62E1DB8"/>
    <w:lvl w:ilvl="0" w:tplc="78582A92">
      <w:start w:val="1"/>
      <w:numFmt w:val="bullet"/>
      <w:pStyle w:val="Keyfinding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4237C5"/>
    <w:multiLevelType w:val="multilevel"/>
    <w:tmpl w:val="617EB2D8"/>
    <w:lvl w:ilvl="0">
      <w:start w:val="1"/>
      <w:numFmt w:val="decimal"/>
      <w:pStyle w:val="OutlineNumbered1"/>
      <w:lvlText w:val="%1."/>
      <w:lvlJc w:val="left"/>
      <w:pPr>
        <w:tabs>
          <w:tab w:val="num" w:pos="520"/>
        </w:tabs>
        <w:ind w:left="520" w:hanging="520"/>
      </w:pPr>
      <w:rPr>
        <w:rFonts w:hint="default"/>
        <w:b w:val="0"/>
        <w:i w:val="0"/>
      </w:rPr>
    </w:lvl>
    <w:lvl w:ilvl="1">
      <w:start w:val="1"/>
      <w:numFmt w:val="decimal"/>
      <w:lvlText w:val="%1.%2."/>
      <w:lvlJc w:val="left"/>
      <w:pPr>
        <w:tabs>
          <w:tab w:val="num" w:pos="1040"/>
        </w:tabs>
        <w:ind w:left="1040" w:hanging="520"/>
      </w:pPr>
      <w:rPr>
        <w:rFonts w:hint="default"/>
        <w:b w:val="0"/>
        <w:i w:val="0"/>
      </w:rPr>
    </w:lvl>
    <w:lvl w:ilvl="2">
      <w:start w:val="1"/>
      <w:numFmt w:val="decimal"/>
      <w:pStyle w:val="OutlineNumbered3"/>
      <w:lvlText w:val="%1.%2.%3."/>
      <w:lvlJc w:val="left"/>
      <w:pPr>
        <w:tabs>
          <w:tab w:val="num" w:pos="1560"/>
        </w:tabs>
        <w:ind w:left="1560" w:hanging="520"/>
      </w:pPr>
      <w:rPr>
        <w:rFonts w:hint="default"/>
        <w:b w:val="0"/>
        <w:i w:val="0"/>
      </w:rPr>
    </w:lvl>
    <w:lvl w:ilvl="3">
      <w:start w:val="1"/>
      <w:numFmt w:val="decimal"/>
      <w:lvlText w:val="%1.%2.%3.%4"/>
      <w:lvlJc w:val="left"/>
      <w:pPr>
        <w:tabs>
          <w:tab w:val="num" w:pos="2551"/>
        </w:tabs>
        <w:ind w:left="2551" w:hanging="850"/>
      </w:pPr>
      <w:rPr>
        <w:rFonts w:hint="default"/>
        <w:b w:val="0"/>
        <w:i w:val="0"/>
      </w:rPr>
    </w:lvl>
    <w:lvl w:ilvl="4">
      <w:start w:val="1"/>
      <w:numFmt w:val="lowerLetter"/>
      <w:pStyle w:val="OutlineNumbered5"/>
      <w:lvlText w:val="(%5)"/>
      <w:lvlJc w:val="left"/>
      <w:pPr>
        <w:tabs>
          <w:tab w:val="num" w:pos="2835"/>
        </w:tabs>
        <w:ind w:left="2835" w:hanging="567"/>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nsid w:val="253B7EBB"/>
    <w:multiLevelType w:val="hybridMultilevel"/>
    <w:tmpl w:val="0EAC1AD0"/>
    <w:name w:val="HeadingList22"/>
    <w:lvl w:ilvl="0" w:tplc="A53C6868">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8B62AC60">
      <w:start w:val="1"/>
      <w:numFmt w:val="decimal"/>
      <w:lvlText w:val="Chart %4: "/>
      <w:lvlJc w:val="left"/>
      <w:pPr>
        <w:ind w:left="2880" w:hanging="360"/>
      </w:pPr>
      <w:rPr>
        <w:rFonts w:hint="default"/>
        <w:color w:val="31A7D4" w:themeColor="accent1"/>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440C8B"/>
    <w:multiLevelType w:val="multilevel"/>
    <w:tmpl w:val="859E9682"/>
    <w:lvl w:ilvl="0">
      <w:start w:val="1"/>
      <w:numFmt w:val="bullet"/>
      <w:lvlRestart w:val="0"/>
      <w:pStyle w:val="Bullet"/>
      <w:lvlText w:val="•"/>
      <w:lvlJc w:val="left"/>
      <w:pPr>
        <w:tabs>
          <w:tab w:val="num" w:pos="566"/>
        </w:tabs>
        <w:ind w:left="566" w:hanging="566"/>
      </w:pPr>
      <w:rPr>
        <w:rFonts w:ascii="Times New Roman" w:hAnsi="Times New Roman" w:cs="Times New Roman"/>
        <w:b w:val="0"/>
        <w:i w:val="0"/>
      </w:rPr>
    </w:lvl>
    <w:lvl w:ilvl="1">
      <w:start w:val="1"/>
      <w:numFmt w:val="bullet"/>
      <w:pStyle w:val="Dash"/>
      <w:lvlText w:val="–"/>
      <w:lvlJc w:val="left"/>
      <w:pPr>
        <w:tabs>
          <w:tab w:val="num" w:pos="1134"/>
        </w:tabs>
        <w:ind w:left="1134" w:hanging="568"/>
      </w:pPr>
      <w:rPr>
        <w:rFonts w:ascii="Times New Roman" w:hAnsi="Times New Roman" w:cs="Times New Roman"/>
        <w:b w:val="0"/>
        <w:i w:val="0"/>
      </w:rPr>
    </w:lvl>
    <w:lvl w:ilvl="2">
      <w:start w:val="1"/>
      <w:numFmt w:val="bullet"/>
      <w:pStyle w:val="DoubleDot"/>
      <w:lvlText w:val=":"/>
      <w:lvlJc w:val="left"/>
      <w:pPr>
        <w:tabs>
          <w:tab w:val="num" w:pos="1700"/>
        </w:tabs>
        <w:ind w:left="1700" w:hanging="566"/>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D78E7"/>
    <w:multiLevelType w:val="multilevel"/>
    <w:tmpl w:val="227083C4"/>
    <w:name w:val="OneLevelRomanNumeralList"/>
    <w:lvl w:ilvl="0">
      <w:start w:val="1"/>
      <w:numFmt w:val="lowerRoman"/>
      <w:lvlRestart w:val="0"/>
      <w:pStyle w:val="Romannumeral"/>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B8242BE"/>
    <w:multiLevelType w:val="hybridMultilevel"/>
    <w:tmpl w:val="B8A06DD0"/>
    <w:name w:val="StandardNumberedList22"/>
    <w:lvl w:ilvl="0" w:tplc="5B0C77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FB0A3D"/>
    <w:multiLevelType w:val="multilevel"/>
    <w:tmpl w:val="96C21DD8"/>
    <w:name w:val="ChartTableFootnoteAlpha22"/>
    <w:lvl w:ilvl="0">
      <w:start w:val="1"/>
      <w:numFmt w:val="decimal"/>
      <w:lvlText w:val="%1."/>
      <w:lvlJc w:val="left"/>
      <w:pPr>
        <w:ind w:left="360" w:hanging="360"/>
      </w:pPr>
      <w:rPr>
        <w:rFonts w:ascii="Arial Bold" w:hAnsi="Arial Bold" w:hint="default"/>
        <w:b/>
        <w:i w:val="0"/>
        <w:color w:val="FFFFFF" w:themeColor="background2"/>
        <w:sz w:val="5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097FDD"/>
    <w:multiLevelType w:val="multilevel"/>
    <w:tmpl w:val="921014AE"/>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31A7D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utlineNumbered2"/>
      <w:lvlText w:val="%1.%2"/>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6">
    <w:nsid w:val="2D665DFA"/>
    <w:multiLevelType w:val="singleLevel"/>
    <w:tmpl w:val="D7E4CFE6"/>
    <w:name w:val="OneLevelAlphaParagraphList"/>
    <w:lvl w:ilvl="0">
      <w:start w:val="1"/>
      <w:numFmt w:val="lowerLetter"/>
      <w:lvlRestart w:val="0"/>
      <w:pStyle w:val="AlphaParagraph"/>
      <w:lvlText w:val="(%1)"/>
      <w:lvlJc w:val="left"/>
      <w:pPr>
        <w:tabs>
          <w:tab w:val="num" w:pos="567"/>
        </w:tabs>
        <w:ind w:left="567" w:hanging="567"/>
      </w:pPr>
      <w:rPr>
        <w:rFonts w:ascii="Arial" w:hAnsi="Arial" w:cs="Arial"/>
        <w:b w:val="0"/>
        <w:i w:val="0"/>
        <w:sz w:val="22"/>
      </w:rPr>
    </w:lvl>
  </w:abstractNum>
  <w:abstractNum w:abstractNumId="17">
    <w:nsid w:val="308C2710"/>
    <w:multiLevelType w:val="multilevel"/>
    <w:tmpl w:val="7026C81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nsid w:val="35DC7AE0"/>
    <w:multiLevelType w:val="multilevel"/>
    <w:tmpl w:val="2DB4A2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9D14C8F"/>
    <w:multiLevelType w:val="hybridMultilevel"/>
    <w:tmpl w:val="A7F05290"/>
    <w:name w:val="HeadingList2"/>
    <w:lvl w:ilvl="0" w:tplc="DAFA4FE8">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945680"/>
    <w:multiLevelType w:val="hybridMultilevel"/>
    <w:tmpl w:val="1DAA6C0A"/>
    <w:name w:val="HeadingList222"/>
    <w:lvl w:ilvl="0" w:tplc="3F0CF8E4">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C373D3F"/>
    <w:multiLevelType w:val="multilevel"/>
    <w:tmpl w:val="D02014D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C542EA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F34343"/>
    <w:multiLevelType w:val="multilevel"/>
    <w:tmpl w:val="EA00A7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8D66B1F"/>
    <w:multiLevelType w:val="hybridMultilevel"/>
    <w:tmpl w:val="0F9C36DA"/>
    <w:lvl w:ilvl="0" w:tplc="D778A3DE">
      <w:start w:val="1"/>
      <w:numFmt w:val="decimal"/>
      <w:lvlText w:val="%1."/>
      <w:lvlJc w:val="left"/>
      <w:pPr>
        <w:ind w:left="720" w:hanging="360"/>
      </w:pPr>
      <w:rPr>
        <w:rFonts w:hint="default"/>
        <w:color w:val="31A7D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6">
    <w:nsid w:val="58101827"/>
    <w:multiLevelType w:val="multilevel"/>
    <w:tmpl w:val="7D86F54C"/>
    <w:lvl w:ilvl="0">
      <w:start w:val="1"/>
      <w:numFmt w:val="bullet"/>
      <w:lvlRestart w:val="0"/>
      <w:pStyle w:val="BoxBullet"/>
      <w:lvlText w:val="•"/>
      <w:lvlJc w:val="left"/>
      <w:pPr>
        <w:tabs>
          <w:tab w:val="num" w:pos="566"/>
        </w:tabs>
        <w:ind w:left="566" w:hanging="566"/>
      </w:pPr>
      <w:rPr>
        <w:rFonts w:ascii="Times New Roman" w:hAnsi="Times New Roman" w:cs="Times New Roman"/>
        <w:b w:val="0"/>
        <w:i w:val="0"/>
        <w:sz w:val="20"/>
      </w:rPr>
    </w:lvl>
    <w:lvl w:ilvl="1">
      <w:start w:val="1"/>
      <w:numFmt w:val="bullet"/>
      <w:pStyle w:val="BoxDash"/>
      <w:lvlText w:val="–"/>
      <w:lvlJc w:val="left"/>
      <w:pPr>
        <w:tabs>
          <w:tab w:val="num" w:pos="1134"/>
        </w:tabs>
        <w:ind w:left="1134" w:hanging="568"/>
      </w:pPr>
      <w:rPr>
        <w:b w:val="0"/>
        <w:i w:val="0"/>
      </w:rPr>
    </w:lvl>
    <w:lvl w:ilvl="2">
      <w:start w:val="1"/>
      <w:numFmt w:val="bullet"/>
      <w:pStyle w:val="BoxDoubleDo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nsid w:val="5E0A6F8D"/>
    <w:multiLevelType w:val="multilevel"/>
    <w:tmpl w:val="51941ED6"/>
    <w:name w:val="RecommendationBulletedList"/>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8">
    <w:nsid w:val="63CD68B8"/>
    <w:multiLevelType w:val="hybridMultilevel"/>
    <w:tmpl w:val="C7106954"/>
    <w:lvl w:ilvl="0" w:tplc="4594BFF8">
      <w:start w:val="1"/>
      <w:numFmt w:val="bullet"/>
      <w:pStyle w:val="Bullets"/>
      <w:lvlText w:val=""/>
      <w:lvlJc w:val="left"/>
      <w:pPr>
        <w:ind w:left="720" w:hanging="360"/>
      </w:pPr>
      <w:rPr>
        <w:rFonts w:ascii="Symbol" w:hAnsi="Symbol" w:hint="default"/>
        <w:color w:val="31A7D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3A59A1"/>
    <w:multiLevelType w:val="hybridMultilevel"/>
    <w:tmpl w:val="B646135E"/>
    <w:lvl w:ilvl="0" w:tplc="3A705740">
      <w:start w:val="2"/>
      <w:numFmt w:val="decimal"/>
      <w:pStyle w:val="Questiontext"/>
      <w:lvlText w:val="%1."/>
      <w:lvlJc w:val="left"/>
      <w:pPr>
        <w:tabs>
          <w:tab w:val="num" w:pos="425"/>
        </w:tabs>
        <w:ind w:left="425" w:hanging="425"/>
      </w:pPr>
      <w:rPr>
        <w:rFonts w:hint="default"/>
        <w:b w:val="0"/>
        <w:i w:val="0"/>
        <w:color w:val="636363"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68404C5"/>
    <w:multiLevelType w:val="hybridMultilevel"/>
    <w:tmpl w:val="36523ACA"/>
    <w:name w:val="HeadingList22222"/>
    <w:lvl w:ilvl="0" w:tplc="F01E2DFE">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6933BE6"/>
    <w:multiLevelType w:val="hybridMultilevel"/>
    <w:tmpl w:val="A09E54AE"/>
    <w:name w:val="HeadingList2222"/>
    <w:lvl w:ilvl="0" w:tplc="22EC308E">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BE7EE5"/>
    <w:multiLevelType w:val="multilevel"/>
    <w:tmpl w:val="F8E02C7A"/>
    <w:name w:val="StandardNumberedList2"/>
    <w:lvl w:ilvl="0">
      <w:start w:val="1"/>
      <w:numFmt w:val="decimal"/>
      <w:lvlText w:val="%1"/>
      <w:lvlJc w:val="left"/>
      <w:pPr>
        <w:ind w:left="432" w:hanging="432"/>
      </w:pPr>
      <w:rPr>
        <w:color w:val="31A7D4" w:themeColor="accent1"/>
      </w:rPr>
    </w:lvl>
    <w:lvl w:ilvl="1">
      <w:start w:val="1"/>
      <w:numFmt w:val="decimal"/>
      <w:lvlText w:val="%2."/>
      <w:lvlJc w:val="left"/>
      <w:pPr>
        <w:ind w:left="576" w:hanging="576"/>
      </w:pPr>
      <w:rPr>
        <w:rFonts w:ascii="Arial Bold" w:hAnsi="Arial Bold" w:hint="default"/>
        <w:b/>
        <w:i w:val="0"/>
        <w:color w:val="31A7D4" w:themeColor="accent1"/>
        <w:sz w:val="5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16"/>
  </w:num>
  <w:num w:numId="3">
    <w:abstractNumId w:val="25"/>
  </w:num>
  <w:num w:numId="4">
    <w:abstractNumId w:val="26"/>
  </w:num>
  <w:num w:numId="5">
    <w:abstractNumId w:val="6"/>
  </w:num>
  <w:num w:numId="6">
    <w:abstractNumId w:val="27"/>
  </w:num>
  <w:num w:numId="7">
    <w:abstractNumId w:val="12"/>
  </w:num>
  <w:num w:numId="8">
    <w:abstractNumId w:val="15"/>
  </w:num>
  <w:num w:numId="9">
    <w:abstractNumId w:val="9"/>
  </w:num>
  <w:num w:numId="10">
    <w:abstractNumId w:val="18"/>
  </w:num>
  <w:num w:numId="11">
    <w:abstractNumId w:val="17"/>
  </w:num>
  <w:num w:numId="12">
    <w:abstractNumId w:val="7"/>
  </w:num>
  <w:num w:numId="13">
    <w:abstractNumId w:val="24"/>
  </w:num>
  <w:num w:numId="14">
    <w:abstractNumId w:val="4"/>
  </w:num>
  <w:num w:numId="15">
    <w:abstractNumId w:val="32"/>
  </w:num>
  <w:num w:numId="16">
    <w:abstractNumId w:val="8"/>
  </w:num>
  <w:num w:numId="17">
    <w:abstractNumId w:val="4"/>
  </w:num>
  <w:num w:numId="18">
    <w:abstractNumId w:val="21"/>
  </w:num>
  <w:num w:numId="19">
    <w:abstractNumId w:val="10"/>
  </w:num>
  <w:num w:numId="20">
    <w:abstractNumId w:val="1"/>
  </w:num>
  <w:num w:numId="21">
    <w:abstractNumId w:val="13"/>
  </w:num>
  <w:num w:numId="22">
    <w:abstractNumId w:val="3"/>
  </w:num>
  <w:num w:numId="23">
    <w:abstractNumId w:val="23"/>
  </w:num>
  <w:num w:numId="24">
    <w:abstractNumId w:val="28"/>
  </w:num>
  <w:num w:numId="25">
    <w:abstractNumId w:val="29"/>
  </w:num>
  <w:num w:numId="26">
    <w:abstractNumId w:val="0"/>
  </w:num>
  <w:num w:numId="27">
    <w:abstractNumId w:val="14"/>
  </w:num>
  <w:num w:numId="28">
    <w:abstractNumId w:val="22"/>
  </w:num>
  <w:num w:numId="2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442369"/>
  </w:hdrShapeDefaults>
  <w:footnotePr>
    <w:numStart w:val="2"/>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A907F9"/>
    <w:rsid w:val="00000AF7"/>
    <w:rsid w:val="000015F3"/>
    <w:rsid w:val="00001AD4"/>
    <w:rsid w:val="0000530C"/>
    <w:rsid w:val="00005397"/>
    <w:rsid w:val="000055B4"/>
    <w:rsid w:val="00006D4A"/>
    <w:rsid w:val="00006F7E"/>
    <w:rsid w:val="0000739F"/>
    <w:rsid w:val="000073FF"/>
    <w:rsid w:val="0001012E"/>
    <w:rsid w:val="00012D6F"/>
    <w:rsid w:val="00014A2F"/>
    <w:rsid w:val="00015713"/>
    <w:rsid w:val="0001572C"/>
    <w:rsid w:val="00015BB0"/>
    <w:rsid w:val="00017C37"/>
    <w:rsid w:val="000202A9"/>
    <w:rsid w:val="000219CE"/>
    <w:rsid w:val="0002285B"/>
    <w:rsid w:val="000235DE"/>
    <w:rsid w:val="00024483"/>
    <w:rsid w:val="00027075"/>
    <w:rsid w:val="0002782A"/>
    <w:rsid w:val="0003065D"/>
    <w:rsid w:val="00031563"/>
    <w:rsid w:val="00032D0F"/>
    <w:rsid w:val="00033764"/>
    <w:rsid w:val="0003520E"/>
    <w:rsid w:val="00035648"/>
    <w:rsid w:val="00035AEF"/>
    <w:rsid w:val="00040609"/>
    <w:rsid w:val="00041869"/>
    <w:rsid w:val="000428BA"/>
    <w:rsid w:val="0004481B"/>
    <w:rsid w:val="000450E0"/>
    <w:rsid w:val="00045355"/>
    <w:rsid w:val="0004661E"/>
    <w:rsid w:val="00046788"/>
    <w:rsid w:val="00046BF5"/>
    <w:rsid w:val="00051CD6"/>
    <w:rsid w:val="000529DE"/>
    <w:rsid w:val="00053A0E"/>
    <w:rsid w:val="00056F03"/>
    <w:rsid w:val="00057308"/>
    <w:rsid w:val="000608FF"/>
    <w:rsid w:val="00064D86"/>
    <w:rsid w:val="00066022"/>
    <w:rsid w:val="00066CDE"/>
    <w:rsid w:val="00067163"/>
    <w:rsid w:val="0007102D"/>
    <w:rsid w:val="0007161B"/>
    <w:rsid w:val="00072911"/>
    <w:rsid w:val="0007306F"/>
    <w:rsid w:val="00083A60"/>
    <w:rsid w:val="0008489B"/>
    <w:rsid w:val="00085769"/>
    <w:rsid w:val="00085FB3"/>
    <w:rsid w:val="000907AF"/>
    <w:rsid w:val="00091D8A"/>
    <w:rsid w:val="00092AF8"/>
    <w:rsid w:val="0009347A"/>
    <w:rsid w:val="000954CD"/>
    <w:rsid w:val="000971E3"/>
    <w:rsid w:val="0009731E"/>
    <w:rsid w:val="00097F39"/>
    <w:rsid w:val="00097FBF"/>
    <w:rsid w:val="000A5942"/>
    <w:rsid w:val="000A65FC"/>
    <w:rsid w:val="000A7C17"/>
    <w:rsid w:val="000B0862"/>
    <w:rsid w:val="000B0D64"/>
    <w:rsid w:val="000B15C8"/>
    <w:rsid w:val="000B440F"/>
    <w:rsid w:val="000B514C"/>
    <w:rsid w:val="000B7B6F"/>
    <w:rsid w:val="000B7C9D"/>
    <w:rsid w:val="000C0F64"/>
    <w:rsid w:val="000C2547"/>
    <w:rsid w:val="000C3256"/>
    <w:rsid w:val="000C50CF"/>
    <w:rsid w:val="000C6B2E"/>
    <w:rsid w:val="000C714A"/>
    <w:rsid w:val="000C7857"/>
    <w:rsid w:val="000D089B"/>
    <w:rsid w:val="000D0ADB"/>
    <w:rsid w:val="000D0AF7"/>
    <w:rsid w:val="000D1A98"/>
    <w:rsid w:val="000D2E1E"/>
    <w:rsid w:val="000D4E24"/>
    <w:rsid w:val="000D5ACA"/>
    <w:rsid w:val="000D5B5D"/>
    <w:rsid w:val="000D5DA3"/>
    <w:rsid w:val="000D72C2"/>
    <w:rsid w:val="000E05F5"/>
    <w:rsid w:val="000E0C47"/>
    <w:rsid w:val="000E1A3D"/>
    <w:rsid w:val="000E283B"/>
    <w:rsid w:val="000F1083"/>
    <w:rsid w:val="000F1340"/>
    <w:rsid w:val="000F4133"/>
    <w:rsid w:val="000F70E4"/>
    <w:rsid w:val="000F7669"/>
    <w:rsid w:val="00103EE9"/>
    <w:rsid w:val="001060CC"/>
    <w:rsid w:val="001061BA"/>
    <w:rsid w:val="001073C0"/>
    <w:rsid w:val="00112F3E"/>
    <w:rsid w:val="001130A9"/>
    <w:rsid w:val="00113234"/>
    <w:rsid w:val="00114113"/>
    <w:rsid w:val="0011589E"/>
    <w:rsid w:val="00116A5E"/>
    <w:rsid w:val="00116AC2"/>
    <w:rsid w:val="00116CCA"/>
    <w:rsid w:val="00117716"/>
    <w:rsid w:val="00117801"/>
    <w:rsid w:val="00122DC2"/>
    <w:rsid w:val="0012637D"/>
    <w:rsid w:val="00126747"/>
    <w:rsid w:val="00127907"/>
    <w:rsid w:val="00127922"/>
    <w:rsid w:val="00127B0A"/>
    <w:rsid w:val="00131C33"/>
    <w:rsid w:val="00133854"/>
    <w:rsid w:val="00135CF0"/>
    <w:rsid w:val="00136A5E"/>
    <w:rsid w:val="00137D56"/>
    <w:rsid w:val="00137DD8"/>
    <w:rsid w:val="00140C7D"/>
    <w:rsid w:val="00140EAD"/>
    <w:rsid w:val="00141A3B"/>
    <w:rsid w:val="001438FD"/>
    <w:rsid w:val="001456F2"/>
    <w:rsid w:val="00145986"/>
    <w:rsid w:val="00147B41"/>
    <w:rsid w:val="00150D61"/>
    <w:rsid w:val="001519B7"/>
    <w:rsid w:val="00151AC2"/>
    <w:rsid w:val="00152FA8"/>
    <w:rsid w:val="001561FD"/>
    <w:rsid w:val="00157DC2"/>
    <w:rsid w:val="0016212E"/>
    <w:rsid w:val="0016267D"/>
    <w:rsid w:val="001627C1"/>
    <w:rsid w:val="001628EE"/>
    <w:rsid w:val="001635B4"/>
    <w:rsid w:val="0016382D"/>
    <w:rsid w:val="00163890"/>
    <w:rsid w:val="00163F01"/>
    <w:rsid w:val="00164DF0"/>
    <w:rsid w:val="00165095"/>
    <w:rsid w:val="0016641B"/>
    <w:rsid w:val="00167010"/>
    <w:rsid w:val="00170517"/>
    <w:rsid w:val="00170DAA"/>
    <w:rsid w:val="001715B3"/>
    <w:rsid w:val="00173608"/>
    <w:rsid w:val="00174F9E"/>
    <w:rsid w:val="00175E69"/>
    <w:rsid w:val="00177983"/>
    <w:rsid w:val="00177A4E"/>
    <w:rsid w:val="00177B97"/>
    <w:rsid w:val="00180D62"/>
    <w:rsid w:val="00181663"/>
    <w:rsid w:val="0018379E"/>
    <w:rsid w:val="001856B6"/>
    <w:rsid w:val="00186C40"/>
    <w:rsid w:val="00186D01"/>
    <w:rsid w:val="00191364"/>
    <w:rsid w:val="00191814"/>
    <w:rsid w:val="00192CD5"/>
    <w:rsid w:val="001934E7"/>
    <w:rsid w:val="00193D08"/>
    <w:rsid w:val="00193E08"/>
    <w:rsid w:val="00194203"/>
    <w:rsid w:val="00194CEA"/>
    <w:rsid w:val="001953EB"/>
    <w:rsid w:val="001957B5"/>
    <w:rsid w:val="00195DE6"/>
    <w:rsid w:val="001A04E9"/>
    <w:rsid w:val="001A2DA2"/>
    <w:rsid w:val="001A3962"/>
    <w:rsid w:val="001A47A2"/>
    <w:rsid w:val="001A68A0"/>
    <w:rsid w:val="001A73F8"/>
    <w:rsid w:val="001A7EE0"/>
    <w:rsid w:val="001B14B8"/>
    <w:rsid w:val="001B2BBA"/>
    <w:rsid w:val="001B3745"/>
    <w:rsid w:val="001B4D3B"/>
    <w:rsid w:val="001B71EE"/>
    <w:rsid w:val="001B7CB7"/>
    <w:rsid w:val="001C02B2"/>
    <w:rsid w:val="001C035A"/>
    <w:rsid w:val="001C1AE3"/>
    <w:rsid w:val="001C1ECB"/>
    <w:rsid w:val="001C2E60"/>
    <w:rsid w:val="001C344B"/>
    <w:rsid w:val="001C6E09"/>
    <w:rsid w:val="001C717C"/>
    <w:rsid w:val="001C7DC7"/>
    <w:rsid w:val="001D1321"/>
    <w:rsid w:val="001D1983"/>
    <w:rsid w:val="001D3698"/>
    <w:rsid w:val="001D3C7D"/>
    <w:rsid w:val="001D3DA2"/>
    <w:rsid w:val="001D7B09"/>
    <w:rsid w:val="001D7C8C"/>
    <w:rsid w:val="001E104D"/>
    <w:rsid w:val="001E2DFA"/>
    <w:rsid w:val="001E427E"/>
    <w:rsid w:val="001E54E4"/>
    <w:rsid w:val="001F1E31"/>
    <w:rsid w:val="001F279C"/>
    <w:rsid w:val="001F27A9"/>
    <w:rsid w:val="001F2EA8"/>
    <w:rsid w:val="001F56A9"/>
    <w:rsid w:val="001F63E3"/>
    <w:rsid w:val="001F6BBF"/>
    <w:rsid w:val="00201AD1"/>
    <w:rsid w:val="0020255C"/>
    <w:rsid w:val="0020257C"/>
    <w:rsid w:val="00202B30"/>
    <w:rsid w:val="00205792"/>
    <w:rsid w:val="002057D1"/>
    <w:rsid w:val="00206DAE"/>
    <w:rsid w:val="00210926"/>
    <w:rsid w:val="00210D02"/>
    <w:rsid w:val="0021178D"/>
    <w:rsid w:val="00212E36"/>
    <w:rsid w:val="002132A3"/>
    <w:rsid w:val="00213BBF"/>
    <w:rsid w:val="0021576F"/>
    <w:rsid w:val="002164CB"/>
    <w:rsid w:val="0022080B"/>
    <w:rsid w:val="00221396"/>
    <w:rsid w:val="00222149"/>
    <w:rsid w:val="00222722"/>
    <w:rsid w:val="00222B9D"/>
    <w:rsid w:val="002237BA"/>
    <w:rsid w:val="00223CEC"/>
    <w:rsid w:val="00224A32"/>
    <w:rsid w:val="00225716"/>
    <w:rsid w:val="00225FB8"/>
    <w:rsid w:val="002310AD"/>
    <w:rsid w:val="00234F32"/>
    <w:rsid w:val="00236E55"/>
    <w:rsid w:val="002371CE"/>
    <w:rsid w:val="00237E7E"/>
    <w:rsid w:val="00240AAC"/>
    <w:rsid w:val="00240ED0"/>
    <w:rsid w:val="002412B9"/>
    <w:rsid w:val="0024227C"/>
    <w:rsid w:val="00242EBD"/>
    <w:rsid w:val="00242F4B"/>
    <w:rsid w:val="002436F1"/>
    <w:rsid w:val="00243B86"/>
    <w:rsid w:val="0024594E"/>
    <w:rsid w:val="00245CA3"/>
    <w:rsid w:val="0025063F"/>
    <w:rsid w:val="00251D34"/>
    <w:rsid w:val="00252F19"/>
    <w:rsid w:val="002552A7"/>
    <w:rsid w:val="00262687"/>
    <w:rsid w:val="00262C24"/>
    <w:rsid w:val="00265475"/>
    <w:rsid w:val="00270AFB"/>
    <w:rsid w:val="00272572"/>
    <w:rsid w:val="00275B4A"/>
    <w:rsid w:val="00275DA1"/>
    <w:rsid w:val="00276D88"/>
    <w:rsid w:val="00277715"/>
    <w:rsid w:val="00280A9E"/>
    <w:rsid w:val="0028210D"/>
    <w:rsid w:val="00282CFF"/>
    <w:rsid w:val="0028318C"/>
    <w:rsid w:val="002831BB"/>
    <w:rsid w:val="002845BF"/>
    <w:rsid w:val="00285298"/>
    <w:rsid w:val="00285777"/>
    <w:rsid w:val="00287164"/>
    <w:rsid w:val="00287E6F"/>
    <w:rsid w:val="002900C6"/>
    <w:rsid w:val="00290D0A"/>
    <w:rsid w:val="00291120"/>
    <w:rsid w:val="002917CC"/>
    <w:rsid w:val="00292330"/>
    <w:rsid w:val="00292C02"/>
    <w:rsid w:val="00292D26"/>
    <w:rsid w:val="00295E06"/>
    <w:rsid w:val="00295E9A"/>
    <w:rsid w:val="002A04DE"/>
    <w:rsid w:val="002A0E02"/>
    <w:rsid w:val="002A112E"/>
    <w:rsid w:val="002A1796"/>
    <w:rsid w:val="002A1A8B"/>
    <w:rsid w:val="002A215A"/>
    <w:rsid w:val="002A2C88"/>
    <w:rsid w:val="002A2FC5"/>
    <w:rsid w:val="002A368A"/>
    <w:rsid w:val="002A437F"/>
    <w:rsid w:val="002A6275"/>
    <w:rsid w:val="002B1F0D"/>
    <w:rsid w:val="002B25E7"/>
    <w:rsid w:val="002B26AD"/>
    <w:rsid w:val="002B2F23"/>
    <w:rsid w:val="002B36D4"/>
    <w:rsid w:val="002B3852"/>
    <w:rsid w:val="002B5EE9"/>
    <w:rsid w:val="002C0889"/>
    <w:rsid w:val="002C1369"/>
    <w:rsid w:val="002C1E4E"/>
    <w:rsid w:val="002C793E"/>
    <w:rsid w:val="002D1787"/>
    <w:rsid w:val="002D1DD5"/>
    <w:rsid w:val="002D2743"/>
    <w:rsid w:val="002D2C64"/>
    <w:rsid w:val="002D6903"/>
    <w:rsid w:val="002E1B79"/>
    <w:rsid w:val="002E5CC5"/>
    <w:rsid w:val="002E6D8D"/>
    <w:rsid w:val="002F05A8"/>
    <w:rsid w:val="002F07B0"/>
    <w:rsid w:val="002F0A4D"/>
    <w:rsid w:val="002F2130"/>
    <w:rsid w:val="002F25DE"/>
    <w:rsid w:val="002F354C"/>
    <w:rsid w:val="002F377B"/>
    <w:rsid w:val="002F3D8E"/>
    <w:rsid w:val="0030048C"/>
    <w:rsid w:val="00300CAF"/>
    <w:rsid w:val="0030206D"/>
    <w:rsid w:val="00302E94"/>
    <w:rsid w:val="003034EF"/>
    <w:rsid w:val="00303AD6"/>
    <w:rsid w:val="0030481C"/>
    <w:rsid w:val="00304A0F"/>
    <w:rsid w:val="00304D2B"/>
    <w:rsid w:val="0030621E"/>
    <w:rsid w:val="00312095"/>
    <w:rsid w:val="00313263"/>
    <w:rsid w:val="00314923"/>
    <w:rsid w:val="00314CD8"/>
    <w:rsid w:val="00315BF0"/>
    <w:rsid w:val="0031661F"/>
    <w:rsid w:val="00316F6F"/>
    <w:rsid w:val="003257E2"/>
    <w:rsid w:val="0032649F"/>
    <w:rsid w:val="00326CCA"/>
    <w:rsid w:val="0033013B"/>
    <w:rsid w:val="0033172C"/>
    <w:rsid w:val="00333170"/>
    <w:rsid w:val="003337BF"/>
    <w:rsid w:val="00333A1A"/>
    <w:rsid w:val="00340924"/>
    <w:rsid w:val="00342A85"/>
    <w:rsid w:val="00350040"/>
    <w:rsid w:val="00351281"/>
    <w:rsid w:val="00351EFE"/>
    <w:rsid w:val="003530D1"/>
    <w:rsid w:val="003547E9"/>
    <w:rsid w:val="00355535"/>
    <w:rsid w:val="003571A1"/>
    <w:rsid w:val="00357E2F"/>
    <w:rsid w:val="00362982"/>
    <w:rsid w:val="00363AE3"/>
    <w:rsid w:val="003645F8"/>
    <w:rsid w:val="0036694D"/>
    <w:rsid w:val="00366E4E"/>
    <w:rsid w:val="0036796F"/>
    <w:rsid w:val="003707CD"/>
    <w:rsid w:val="0037312C"/>
    <w:rsid w:val="003740EF"/>
    <w:rsid w:val="003742A7"/>
    <w:rsid w:val="00375883"/>
    <w:rsid w:val="003768D2"/>
    <w:rsid w:val="00376FEF"/>
    <w:rsid w:val="00377C3E"/>
    <w:rsid w:val="00385771"/>
    <w:rsid w:val="00385CC2"/>
    <w:rsid w:val="00385F04"/>
    <w:rsid w:val="00387698"/>
    <w:rsid w:val="0039104A"/>
    <w:rsid w:val="0039106C"/>
    <w:rsid w:val="00393BC7"/>
    <w:rsid w:val="00395592"/>
    <w:rsid w:val="003962C9"/>
    <w:rsid w:val="003A0D16"/>
    <w:rsid w:val="003A28E5"/>
    <w:rsid w:val="003A2D03"/>
    <w:rsid w:val="003A45DE"/>
    <w:rsid w:val="003A4981"/>
    <w:rsid w:val="003A52A6"/>
    <w:rsid w:val="003A5CDC"/>
    <w:rsid w:val="003B22DB"/>
    <w:rsid w:val="003B337B"/>
    <w:rsid w:val="003B3C87"/>
    <w:rsid w:val="003B454D"/>
    <w:rsid w:val="003B461D"/>
    <w:rsid w:val="003C092D"/>
    <w:rsid w:val="003C0DA6"/>
    <w:rsid w:val="003C10A4"/>
    <w:rsid w:val="003C3242"/>
    <w:rsid w:val="003C4B0E"/>
    <w:rsid w:val="003C4D79"/>
    <w:rsid w:val="003D05D7"/>
    <w:rsid w:val="003D1260"/>
    <w:rsid w:val="003D30DE"/>
    <w:rsid w:val="003D35D6"/>
    <w:rsid w:val="003D3BA5"/>
    <w:rsid w:val="003D614E"/>
    <w:rsid w:val="003D67C9"/>
    <w:rsid w:val="003D7268"/>
    <w:rsid w:val="003D7425"/>
    <w:rsid w:val="003D7ABD"/>
    <w:rsid w:val="003E4E09"/>
    <w:rsid w:val="003E6417"/>
    <w:rsid w:val="003E73C6"/>
    <w:rsid w:val="003E7AC4"/>
    <w:rsid w:val="003F290D"/>
    <w:rsid w:val="003F307A"/>
    <w:rsid w:val="003F497A"/>
    <w:rsid w:val="003F6399"/>
    <w:rsid w:val="004018FC"/>
    <w:rsid w:val="0040354C"/>
    <w:rsid w:val="004036B6"/>
    <w:rsid w:val="00404D80"/>
    <w:rsid w:val="0040684F"/>
    <w:rsid w:val="00412393"/>
    <w:rsid w:val="00412FB5"/>
    <w:rsid w:val="00413B20"/>
    <w:rsid w:val="00414B00"/>
    <w:rsid w:val="00415635"/>
    <w:rsid w:val="00416462"/>
    <w:rsid w:val="004203CF"/>
    <w:rsid w:val="00420581"/>
    <w:rsid w:val="00421697"/>
    <w:rsid w:val="00421BA0"/>
    <w:rsid w:val="0042240D"/>
    <w:rsid w:val="00424528"/>
    <w:rsid w:val="00424549"/>
    <w:rsid w:val="004249C3"/>
    <w:rsid w:val="00425BA6"/>
    <w:rsid w:val="00426A09"/>
    <w:rsid w:val="00430402"/>
    <w:rsid w:val="00431094"/>
    <w:rsid w:val="00437472"/>
    <w:rsid w:val="00437E9B"/>
    <w:rsid w:val="00440EE2"/>
    <w:rsid w:val="00441263"/>
    <w:rsid w:val="00444845"/>
    <w:rsid w:val="00445377"/>
    <w:rsid w:val="0044573E"/>
    <w:rsid w:val="004464C2"/>
    <w:rsid w:val="00446751"/>
    <w:rsid w:val="00446EAA"/>
    <w:rsid w:val="004506D5"/>
    <w:rsid w:val="00452226"/>
    <w:rsid w:val="00452397"/>
    <w:rsid w:val="004529CA"/>
    <w:rsid w:val="00452D46"/>
    <w:rsid w:val="0045339B"/>
    <w:rsid w:val="00454843"/>
    <w:rsid w:val="004554B8"/>
    <w:rsid w:val="004561D5"/>
    <w:rsid w:val="00457563"/>
    <w:rsid w:val="004578A0"/>
    <w:rsid w:val="00457D02"/>
    <w:rsid w:val="0046010F"/>
    <w:rsid w:val="004605CA"/>
    <w:rsid w:val="00461EAB"/>
    <w:rsid w:val="00463443"/>
    <w:rsid w:val="00464400"/>
    <w:rsid w:val="00465FE8"/>
    <w:rsid w:val="00466BF5"/>
    <w:rsid w:val="00467E7F"/>
    <w:rsid w:val="0047120F"/>
    <w:rsid w:val="00473B6A"/>
    <w:rsid w:val="00475676"/>
    <w:rsid w:val="00480526"/>
    <w:rsid w:val="00482849"/>
    <w:rsid w:val="00483800"/>
    <w:rsid w:val="004838F2"/>
    <w:rsid w:val="004847B9"/>
    <w:rsid w:val="004867F2"/>
    <w:rsid w:val="00486BB0"/>
    <w:rsid w:val="0048740B"/>
    <w:rsid w:val="0048777E"/>
    <w:rsid w:val="00487C0F"/>
    <w:rsid w:val="00491D5B"/>
    <w:rsid w:val="00491F7B"/>
    <w:rsid w:val="0049280F"/>
    <w:rsid w:val="004935E2"/>
    <w:rsid w:val="004950BF"/>
    <w:rsid w:val="0049584B"/>
    <w:rsid w:val="004A04A8"/>
    <w:rsid w:val="004A1773"/>
    <w:rsid w:val="004A3445"/>
    <w:rsid w:val="004A3679"/>
    <w:rsid w:val="004A425B"/>
    <w:rsid w:val="004A46FA"/>
    <w:rsid w:val="004A6CD5"/>
    <w:rsid w:val="004A7841"/>
    <w:rsid w:val="004B037F"/>
    <w:rsid w:val="004B0CAF"/>
    <w:rsid w:val="004B11A1"/>
    <w:rsid w:val="004B1FC3"/>
    <w:rsid w:val="004B50A1"/>
    <w:rsid w:val="004B61A3"/>
    <w:rsid w:val="004B6246"/>
    <w:rsid w:val="004B73CF"/>
    <w:rsid w:val="004B7785"/>
    <w:rsid w:val="004B7A73"/>
    <w:rsid w:val="004C0638"/>
    <w:rsid w:val="004C1832"/>
    <w:rsid w:val="004C400E"/>
    <w:rsid w:val="004C5447"/>
    <w:rsid w:val="004C5C0F"/>
    <w:rsid w:val="004C6731"/>
    <w:rsid w:val="004D08F6"/>
    <w:rsid w:val="004D1E88"/>
    <w:rsid w:val="004D1FCD"/>
    <w:rsid w:val="004D27CD"/>
    <w:rsid w:val="004D5958"/>
    <w:rsid w:val="004D651D"/>
    <w:rsid w:val="004E08B1"/>
    <w:rsid w:val="004E3B6D"/>
    <w:rsid w:val="004E4FDD"/>
    <w:rsid w:val="004E53DD"/>
    <w:rsid w:val="004E7E9F"/>
    <w:rsid w:val="004F00EA"/>
    <w:rsid w:val="004F2131"/>
    <w:rsid w:val="004F387B"/>
    <w:rsid w:val="004F3AD1"/>
    <w:rsid w:val="004F4CD2"/>
    <w:rsid w:val="004F52D6"/>
    <w:rsid w:val="004F6D76"/>
    <w:rsid w:val="005004D1"/>
    <w:rsid w:val="0050060F"/>
    <w:rsid w:val="00500D89"/>
    <w:rsid w:val="0050729F"/>
    <w:rsid w:val="00510086"/>
    <w:rsid w:val="005122A5"/>
    <w:rsid w:val="005134B5"/>
    <w:rsid w:val="00514207"/>
    <w:rsid w:val="0051677B"/>
    <w:rsid w:val="00517AAE"/>
    <w:rsid w:val="00521F1C"/>
    <w:rsid w:val="005221DA"/>
    <w:rsid w:val="0052221D"/>
    <w:rsid w:val="00522228"/>
    <w:rsid w:val="005224B7"/>
    <w:rsid w:val="00522E13"/>
    <w:rsid w:val="0052303A"/>
    <w:rsid w:val="00523F15"/>
    <w:rsid w:val="0052543A"/>
    <w:rsid w:val="00526666"/>
    <w:rsid w:val="0053018F"/>
    <w:rsid w:val="00532BCE"/>
    <w:rsid w:val="00532E77"/>
    <w:rsid w:val="00534B73"/>
    <w:rsid w:val="005374E0"/>
    <w:rsid w:val="00541376"/>
    <w:rsid w:val="00546041"/>
    <w:rsid w:val="0055013D"/>
    <w:rsid w:val="00550A84"/>
    <w:rsid w:val="00550FB6"/>
    <w:rsid w:val="00551ECB"/>
    <w:rsid w:val="005538BE"/>
    <w:rsid w:val="00556130"/>
    <w:rsid w:val="00556633"/>
    <w:rsid w:val="00556D99"/>
    <w:rsid w:val="005575F6"/>
    <w:rsid w:val="00561F5D"/>
    <w:rsid w:val="00564061"/>
    <w:rsid w:val="00565212"/>
    <w:rsid w:val="00566847"/>
    <w:rsid w:val="00571A2A"/>
    <w:rsid w:val="005726A8"/>
    <w:rsid w:val="005774C0"/>
    <w:rsid w:val="0058115C"/>
    <w:rsid w:val="0058137B"/>
    <w:rsid w:val="0058275C"/>
    <w:rsid w:val="00585EF7"/>
    <w:rsid w:val="005869A2"/>
    <w:rsid w:val="00587F45"/>
    <w:rsid w:val="0059045D"/>
    <w:rsid w:val="0059128C"/>
    <w:rsid w:val="005912E1"/>
    <w:rsid w:val="00592097"/>
    <w:rsid w:val="00592495"/>
    <w:rsid w:val="0059319A"/>
    <w:rsid w:val="00593FE6"/>
    <w:rsid w:val="005959EE"/>
    <w:rsid w:val="00597EBC"/>
    <w:rsid w:val="005A0590"/>
    <w:rsid w:val="005A089C"/>
    <w:rsid w:val="005A08BA"/>
    <w:rsid w:val="005A0A14"/>
    <w:rsid w:val="005A2070"/>
    <w:rsid w:val="005A2E97"/>
    <w:rsid w:val="005A3A4B"/>
    <w:rsid w:val="005A3D75"/>
    <w:rsid w:val="005A6550"/>
    <w:rsid w:val="005B00BF"/>
    <w:rsid w:val="005B0A1B"/>
    <w:rsid w:val="005B16FD"/>
    <w:rsid w:val="005B1A47"/>
    <w:rsid w:val="005B1DED"/>
    <w:rsid w:val="005B2957"/>
    <w:rsid w:val="005B3708"/>
    <w:rsid w:val="005B3F3C"/>
    <w:rsid w:val="005B40B5"/>
    <w:rsid w:val="005B57E7"/>
    <w:rsid w:val="005B5CDB"/>
    <w:rsid w:val="005B611D"/>
    <w:rsid w:val="005C223F"/>
    <w:rsid w:val="005C4D62"/>
    <w:rsid w:val="005C58E5"/>
    <w:rsid w:val="005C6C3E"/>
    <w:rsid w:val="005C79AC"/>
    <w:rsid w:val="005D2EE5"/>
    <w:rsid w:val="005D36EA"/>
    <w:rsid w:val="005D442D"/>
    <w:rsid w:val="005D4873"/>
    <w:rsid w:val="005D5280"/>
    <w:rsid w:val="005D7973"/>
    <w:rsid w:val="005E444B"/>
    <w:rsid w:val="005E59B8"/>
    <w:rsid w:val="005E5AA6"/>
    <w:rsid w:val="005E76C1"/>
    <w:rsid w:val="005E7F15"/>
    <w:rsid w:val="005F1312"/>
    <w:rsid w:val="005F1C35"/>
    <w:rsid w:val="005F32AF"/>
    <w:rsid w:val="005F3BFA"/>
    <w:rsid w:val="005F512D"/>
    <w:rsid w:val="005F59CA"/>
    <w:rsid w:val="005F5EF0"/>
    <w:rsid w:val="005F64CA"/>
    <w:rsid w:val="005F78AF"/>
    <w:rsid w:val="006001B0"/>
    <w:rsid w:val="006002D8"/>
    <w:rsid w:val="00600FF5"/>
    <w:rsid w:val="00601018"/>
    <w:rsid w:val="00603F58"/>
    <w:rsid w:val="006046BE"/>
    <w:rsid w:val="00605305"/>
    <w:rsid w:val="00605433"/>
    <w:rsid w:val="00607773"/>
    <w:rsid w:val="00607A43"/>
    <w:rsid w:val="00614E82"/>
    <w:rsid w:val="00616699"/>
    <w:rsid w:val="00617B88"/>
    <w:rsid w:val="006220EC"/>
    <w:rsid w:val="00622B9E"/>
    <w:rsid w:val="00623BE8"/>
    <w:rsid w:val="006240F5"/>
    <w:rsid w:val="00624D43"/>
    <w:rsid w:val="00624E41"/>
    <w:rsid w:val="00625A79"/>
    <w:rsid w:val="00626E28"/>
    <w:rsid w:val="00627024"/>
    <w:rsid w:val="006322F5"/>
    <w:rsid w:val="00632C26"/>
    <w:rsid w:val="00633636"/>
    <w:rsid w:val="00633E76"/>
    <w:rsid w:val="00634574"/>
    <w:rsid w:val="006348F3"/>
    <w:rsid w:val="00634909"/>
    <w:rsid w:val="00634C03"/>
    <w:rsid w:val="0063737C"/>
    <w:rsid w:val="00641FA5"/>
    <w:rsid w:val="0064599F"/>
    <w:rsid w:val="0065154E"/>
    <w:rsid w:val="006553DB"/>
    <w:rsid w:val="006557F3"/>
    <w:rsid w:val="00655FF0"/>
    <w:rsid w:val="006560D1"/>
    <w:rsid w:val="00656BD7"/>
    <w:rsid w:val="00657D78"/>
    <w:rsid w:val="00660400"/>
    <w:rsid w:val="0066047A"/>
    <w:rsid w:val="00660A65"/>
    <w:rsid w:val="0066239A"/>
    <w:rsid w:val="006635E4"/>
    <w:rsid w:val="00665CDD"/>
    <w:rsid w:val="00666593"/>
    <w:rsid w:val="00666651"/>
    <w:rsid w:val="00667301"/>
    <w:rsid w:val="00667EF2"/>
    <w:rsid w:val="00667F8D"/>
    <w:rsid w:val="00670459"/>
    <w:rsid w:val="00670A5C"/>
    <w:rsid w:val="006728EC"/>
    <w:rsid w:val="00672ED3"/>
    <w:rsid w:val="00676B12"/>
    <w:rsid w:val="00677E52"/>
    <w:rsid w:val="0068169D"/>
    <w:rsid w:val="00682A73"/>
    <w:rsid w:val="0068327E"/>
    <w:rsid w:val="00683EBB"/>
    <w:rsid w:val="006840D7"/>
    <w:rsid w:val="006852A6"/>
    <w:rsid w:val="00687BCE"/>
    <w:rsid w:val="006946B4"/>
    <w:rsid w:val="006949FF"/>
    <w:rsid w:val="006957C2"/>
    <w:rsid w:val="00696D2E"/>
    <w:rsid w:val="006974CB"/>
    <w:rsid w:val="00697F64"/>
    <w:rsid w:val="006A017E"/>
    <w:rsid w:val="006A0A09"/>
    <w:rsid w:val="006A18DD"/>
    <w:rsid w:val="006A2E33"/>
    <w:rsid w:val="006A38A3"/>
    <w:rsid w:val="006A39F9"/>
    <w:rsid w:val="006A698E"/>
    <w:rsid w:val="006A7406"/>
    <w:rsid w:val="006A771D"/>
    <w:rsid w:val="006A787E"/>
    <w:rsid w:val="006B0B86"/>
    <w:rsid w:val="006B1514"/>
    <w:rsid w:val="006B31E5"/>
    <w:rsid w:val="006B3D4C"/>
    <w:rsid w:val="006B4520"/>
    <w:rsid w:val="006B508B"/>
    <w:rsid w:val="006B6F2D"/>
    <w:rsid w:val="006B7EA0"/>
    <w:rsid w:val="006C4310"/>
    <w:rsid w:val="006C4557"/>
    <w:rsid w:val="006C54B3"/>
    <w:rsid w:val="006C5F3B"/>
    <w:rsid w:val="006C75F9"/>
    <w:rsid w:val="006C770D"/>
    <w:rsid w:val="006D5131"/>
    <w:rsid w:val="006D550B"/>
    <w:rsid w:val="006D63B8"/>
    <w:rsid w:val="006E14DE"/>
    <w:rsid w:val="006E328A"/>
    <w:rsid w:val="006E4BD0"/>
    <w:rsid w:val="006E5145"/>
    <w:rsid w:val="006E6FDC"/>
    <w:rsid w:val="006E787A"/>
    <w:rsid w:val="006F0997"/>
    <w:rsid w:val="006F2900"/>
    <w:rsid w:val="006F3307"/>
    <w:rsid w:val="006F4A90"/>
    <w:rsid w:val="006F6960"/>
    <w:rsid w:val="00701B77"/>
    <w:rsid w:val="00702298"/>
    <w:rsid w:val="00704389"/>
    <w:rsid w:val="007045B9"/>
    <w:rsid w:val="0070510A"/>
    <w:rsid w:val="00705842"/>
    <w:rsid w:val="00705ABD"/>
    <w:rsid w:val="007064F6"/>
    <w:rsid w:val="0070668D"/>
    <w:rsid w:val="00706E81"/>
    <w:rsid w:val="00710009"/>
    <w:rsid w:val="00710A6B"/>
    <w:rsid w:val="007111EA"/>
    <w:rsid w:val="00714420"/>
    <w:rsid w:val="007213B1"/>
    <w:rsid w:val="00722117"/>
    <w:rsid w:val="00722785"/>
    <w:rsid w:val="00724862"/>
    <w:rsid w:val="00724A85"/>
    <w:rsid w:val="00725210"/>
    <w:rsid w:val="00725288"/>
    <w:rsid w:val="00726625"/>
    <w:rsid w:val="00726AEC"/>
    <w:rsid w:val="00727D18"/>
    <w:rsid w:val="00732806"/>
    <w:rsid w:val="007330AD"/>
    <w:rsid w:val="00733336"/>
    <w:rsid w:val="007333B8"/>
    <w:rsid w:val="0073412E"/>
    <w:rsid w:val="0073427A"/>
    <w:rsid w:val="00734C4B"/>
    <w:rsid w:val="00735237"/>
    <w:rsid w:val="00735B30"/>
    <w:rsid w:val="00735E62"/>
    <w:rsid w:val="00736898"/>
    <w:rsid w:val="007368F5"/>
    <w:rsid w:val="00737153"/>
    <w:rsid w:val="00737E19"/>
    <w:rsid w:val="00742540"/>
    <w:rsid w:val="00746158"/>
    <w:rsid w:val="00746555"/>
    <w:rsid w:val="0075110E"/>
    <w:rsid w:val="00751C66"/>
    <w:rsid w:val="007525B8"/>
    <w:rsid w:val="00753D59"/>
    <w:rsid w:val="00753DC9"/>
    <w:rsid w:val="00754B40"/>
    <w:rsid w:val="007556F5"/>
    <w:rsid w:val="00757541"/>
    <w:rsid w:val="00760285"/>
    <w:rsid w:val="007617DA"/>
    <w:rsid w:val="00762217"/>
    <w:rsid w:val="0076273F"/>
    <w:rsid w:val="00763B40"/>
    <w:rsid w:val="00763C5F"/>
    <w:rsid w:val="00765218"/>
    <w:rsid w:val="0077309A"/>
    <w:rsid w:val="0077315D"/>
    <w:rsid w:val="007747B8"/>
    <w:rsid w:val="0077523B"/>
    <w:rsid w:val="00777C6E"/>
    <w:rsid w:val="00777E49"/>
    <w:rsid w:val="00780DCB"/>
    <w:rsid w:val="007811EA"/>
    <w:rsid w:val="007814B1"/>
    <w:rsid w:val="00783EFB"/>
    <w:rsid w:val="007845DE"/>
    <w:rsid w:val="00785959"/>
    <w:rsid w:val="00786FD7"/>
    <w:rsid w:val="00791CB9"/>
    <w:rsid w:val="00792F6F"/>
    <w:rsid w:val="00793295"/>
    <w:rsid w:val="0079336B"/>
    <w:rsid w:val="007935B0"/>
    <w:rsid w:val="007959B6"/>
    <w:rsid w:val="00796B28"/>
    <w:rsid w:val="007A0392"/>
    <w:rsid w:val="007A1386"/>
    <w:rsid w:val="007A5255"/>
    <w:rsid w:val="007A78CE"/>
    <w:rsid w:val="007B009F"/>
    <w:rsid w:val="007B1577"/>
    <w:rsid w:val="007B1E07"/>
    <w:rsid w:val="007B3171"/>
    <w:rsid w:val="007B3A8C"/>
    <w:rsid w:val="007B4589"/>
    <w:rsid w:val="007B4F86"/>
    <w:rsid w:val="007B5010"/>
    <w:rsid w:val="007C00E9"/>
    <w:rsid w:val="007C064E"/>
    <w:rsid w:val="007C1437"/>
    <w:rsid w:val="007C2061"/>
    <w:rsid w:val="007C258A"/>
    <w:rsid w:val="007C3D0B"/>
    <w:rsid w:val="007C4C57"/>
    <w:rsid w:val="007D042B"/>
    <w:rsid w:val="007D0ECF"/>
    <w:rsid w:val="007D168A"/>
    <w:rsid w:val="007D26FB"/>
    <w:rsid w:val="007D2877"/>
    <w:rsid w:val="007D2A9B"/>
    <w:rsid w:val="007D3A0E"/>
    <w:rsid w:val="007D3FB5"/>
    <w:rsid w:val="007D62D3"/>
    <w:rsid w:val="007D6B46"/>
    <w:rsid w:val="007E0F08"/>
    <w:rsid w:val="007E18D3"/>
    <w:rsid w:val="007E34F5"/>
    <w:rsid w:val="007E4966"/>
    <w:rsid w:val="007F096F"/>
    <w:rsid w:val="007F1952"/>
    <w:rsid w:val="007F38EB"/>
    <w:rsid w:val="007F410A"/>
    <w:rsid w:val="007F516E"/>
    <w:rsid w:val="007F5935"/>
    <w:rsid w:val="007F649F"/>
    <w:rsid w:val="007F7280"/>
    <w:rsid w:val="007F7C8E"/>
    <w:rsid w:val="008028B6"/>
    <w:rsid w:val="0080292E"/>
    <w:rsid w:val="00802C7C"/>
    <w:rsid w:val="00803193"/>
    <w:rsid w:val="0080347B"/>
    <w:rsid w:val="0080477D"/>
    <w:rsid w:val="00804876"/>
    <w:rsid w:val="00811331"/>
    <w:rsid w:val="00812761"/>
    <w:rsid w:val="008149BD"/>
    <w:rsid w:val="00814B97"/>
    <w:rsid w:val="0081510E"/>
    <w:rsid w:val="00815210"/>
    <w:rsid w:val="008152B6"/>
    <w:rsid w:val="0081566D"/>
    <w:rsid w:val="008162A4"/>
    <w:rsid w:val="008166F3"/>
    <w:rsid w:val="00823F10"/>
    <w:rsid w:val="00825B81"/>
    <w:rsid w:val="00825D29"/>
    <w:rsid w:val="00826316"/>
    <w:rsid w:val="00826DB3"/>
    <w:rsid w:val="00830399"/>
    <w:rsid w:val="00831B31"/>
    <w:rsid w:val="008330F7"/>
    <w:rsid w:val="008333B1"/>
    <w:rsid w:val="00840644"/>
    <w:rsid w:val="00840EB1"/>
    <w:rsid w:val="00841D84"/>
    <w:rsid w:val="00842070"/>
    <w:rsid w:val="0084477F"/>
    <w:rsid w:val="00845056"/>
    <w:rsid w:val="00845550"/>
    <w:rsid w:val="00845EA8"/>
    <w:rsid w:val="0085191A"/>
    <w:rsid w:val="00851A1B"/>
    <w:rsid w:val="0085442C"/>
    <w:rsid w:val="008545AC"/>
    <w:rsid w:val="0085578F"/>
    <w:rsid w:val="00856895"/>
    <w:rsid w:val="0085722E"/>
    <w:rsid w:val="0086090E"/>
    <w:rsid w:val="00861028"/>
    <w:rsid w:val="00861116"/>
    <w:rsid w:val="00861C54"/>
    <w:rsid w:val="008626DA"/>
    <w:rsid w:val="00864AAD"/>
    <w:rsid w:val="00865380"/>
    <w:rsid w:val="00865B4D"/>
    <w:rsid w:val="00865EAD"/>
    <w:rsid w:val="00866247"/>
    <w:rsid w:val="00866CB2"/>
    <w:rsid w:val="00867095"/>
    <w:rsid w:val="00870648"/>
    <w:rsid w:val="00871964"/>
    <w:rsid w:val="008719AB"/>
    <w:rsid w:val="00874324"/>
    <w:rsid w:val="00874E00"/>
    <w:rsid w:val="00875144"/>
    <w:rsid w:val="008765EF"/>
    <w:rsid w:val="0088201A"/>
    <w:rsid w:val="00882640"/>
    <w:rsid w:val="0088302F"/>
    <w:rsid w:val="00883AF9"/>
    <w:rsid w:val="00883EA2"/>
    <w:rsid w:val="00885881"/>
    <w:rsid w:val="008865BD"/>
    <w:rsid w:val="00887DDE"/>
    <w:rsid w:val="00890DC8"/>
    <w:rsid w:val="00891E09"/>
    <w:rsid w:val="0089272D"/>
    <w:rsid w:val="00892C85"/>
    <w:rsid w:val="0089373A"/>
    <w:rsid w:val="00894403"/>
    <w:rsid w:val="00894B40"/>
    <w:rsid w:val="00894E29"/>
    <w:rsid w:val="0089621C"/>
    <w:rsid w:val="008A16CB"/>
    <w:rsid w:val="008A430F"/>
    <w:rsid w:val="008A4707"/>
    <w:rsid w:val="008A5177"/>
    <w:rsid w:val="008A65BE"/>
    <w:rsid w:val="008A6B6A"/>
    <w:rsid w:val="008A6D97"/>
    <w:rsid w:val="008B0C4B"/>
    <w:rsid w:val="008B0D14"/>
    <w:rsid w:val="008B1BA0"/>
    <w:rsid w:val="008B2331"/>
    <w:rsid w:val="008B3962"/>
    <w:rsid w:val="008B39A1"/>
    <w:rsid w:val="008B4088"/>
    <w:rsid w:val="008B5519"/>
    <w:rsid w:val="008B657C"/>
    <w:rsid w:val="008B69FA"/>
    <w:rsid w:val="008B79AC"/>
    <w:rsid w:val="008B7E8B"/>
    <w:rsid w:val="008C08C4"/>
    <w:rsid w:val="008C1350"/>
    <w:rsid w:val="008C5FB5"/>
    <w:rsid w:val="008C69F7"/>
    <w:rsid w:val="008C6FC4"/>
    <w:rsid w:val="008C7D42"/>
    <w:rsid w:val="008C7DBF"/>
    <w:rsid w:val="008D0271"/>
    <w:rsid w:val="008D0916"/>
    <w:rsid w:val="008D191E"/>
    <w:rsid w:val="008D20A0"/>
    <w:rsid w:val="008D2B35"/>
    <w:rsid w:val="008D2E8B"/>
    <w:rsid w:val="008D341D"/>
    <w:rsid w:val="008D40FA"/>
    <w:rsid w:val="008D647F"/>
    <w:rsid w:val="008D6825"/>
    <w:rsid w:val="008D7B65"/>
    <w:rsid w:val="008E0373"/>
    <w:rsid w:val="008E05BE"/>
    <w:rsid w:val="008E0722"/>
    <w:rsid w:val="008E07C2"/>
    <w:rsid w:val="008E097D"/>
    <w:rsid w:val="008E2015"/>
    <w:rsid w:val="008E3B84"/>
    <w:rsid w:val="008E5201"/>
    <w:rsid w:val="008E5AA1"/>
    <w:rsid w:val="008E6CC4"/>
    <w:rsid w:val="008E6CCA"/>
    <w:rsid w:val="008E7551"/>
    <w:rsid w:val="008E798E"/>
    <w:rsid w:val="008E7C29"/>
    <w:rsid w:val="008E7EFF"/>
    <w:rsid w:val="008F056C"/>
    <w:rsid w:val="008F26FB"/>
    <w:rsid w:val="008F28BE"/>
    <w:rsid w:val="008F55E6"/>
    <w:rsid w:val="008F5CFA"/>
    <w:rsid w:val="008F6DA4"/>
    <w:rsid w:val="008F785E"/>
    <w:rsid w:val="00900811"/>
    <w:rsid w:val="00900856"/>
    <w:rsid w:val="00901BC6"/>
    <w:rsid w:val="00902796"/>
    <w:rsid w:val="009027B8"/>
    <w:rsid w:val="0090306B"/>
    <w:rsid w:val="00904828"/>
    <w:rsid w:val="00907A18"/>
    <w:rsid w:val="00910BA7"/>
    <w:rsid w:val="00911825"/>
    <w:rsid w:val="00914964"/>
    <w:rsid w:val="00916683"/>
    <w:rsid w:val="00916D64"/>
    <w:rsid w:val="00920170"/>
    <w:rsid w:val="0092283D"/>
    <w:rsid w:val="00923D8A"/>
    <w:rsid w:val="00924955"/>
    <w:rsid w:val="009250D2"/>
    <w:rsid w:val="009312EA"/>
    <w:rsid w:val="0093172E"/>
    <w:rsid w:val="009373AD"/>
    <w:rsid w:val="009378E2"/>
    <w:rsid w:val="00941BE4"/>
    <w:rsid w:val="009421D7"/>
    <w:rsid w:val="00942526"/>
    <w:rsid w:val="00944C23"/>
    <w:rsid w:val="00950DDA"/>
    <w:rsid w:val="00950F95"/>
    <w:rsid w:val="0095120D"/>
    <w:rsid w:val="00951F41"/>
    <w:rsid w:val="009520E0"/>
    <w:rsid w:val="009544CA"/>
    <w:rsid w:val="00954BE6"/>
    <w:rsid w:val="009606F4"/>
    <w:rsid w:val="00960948"/>
    <w:rsid w:val="00965E25"/>
    <w:rsid w:val="00966457"/>
    <w:rsid w:val="009666E2"/>
    <w:rsid w:val="009674A6"/>
    <w:rsid w:val="00970073"/>
    <w:rsid w:val="009702D8"/>
    <w:rsid w:val="00973792"/>
    <w:rsid w:val="009753C4"/>
    <w:rsid w:val="00976988"/>
    <w:rsid w:val="00976C27"/>
    <w:rsid w:val="00977C57"/>
    <w:rsid w:val="00981231"/>
    <w:rsid w:val="00982645"/>
    <w:rsid w:val="00983340"/>
    <w:rsid w:val="00983E8A"/>
    <w:rsid w:val="0098452A"/>
    <w:rsid w:val="00984775"/>
    <w:rsid w:val="00984BA4"/>
    <w:rsid w:val="00985D22"/>
    <w:rsid w:val="0098665F"/>
    <w:rsid w:val="009872BD"/>
    <w:rsid w:val="00987915"/>
    <w:rsid w:val="00990728"/>
    <w:rsid w:val="00990788"/>
    <w:rsid w:val="00990E5C"/>
    <w:rsid w:val="00990ECA"/>
    <w:rsid w:val="00991002"/>
    <w:rsid w:val="00991402"/>
    <w:rsid w:val="0099322F"/>
    <w:rsid w:val="00993812"/>
    <w:rsid w:val="00995997"/>
    <w:rsid w:val="00997FAD"/>
    <w:rsid w:val="009A09B1"/>
    <w:rsid w:val="009A65DD"/>
    <w:rsid w:val="009B4C1B"/>
    <w:rsid w:val="009B5730"/>
    <w:rsid w:val="009C231C"/>
    <w:rsid w:val="009C331D"/>
    <w:rsid w:val="009C500D"/>
    <w:rsid w:val="009D0589"/>
    <w:rsid w:val="009D3F71"/>
    <w:rsid w:val="009D5EBF"/>
    <w:rsid w:val="009D6771"/>
    <w:rsid w:val="009D724E"/>
    <w:rsid w:val="009D762B"/>
    <w:rsid w:val="009E1293"/>
    <w:rsid w:val="009E2DD1"/>
    <w:rsid w:val="009E409F"/>
    <w:rsid w:val="009E4835"/>
    <w:rsid w:val="009E5823"/>
    <w:rsid w:val="009F150D"/>
    <w:rsid w:val="009F24C3"/>
    <w:rsid w:val="009F2A8B"/>
    <w:rsid w:val="009F34EA"/>
    <w:rsid w:val="009F35C4"/>
    <w:rsid w:val="009F6D58"/>
    <w:rsid w:val="009F7C7D"/>
    <w:rsid w:val="00A00704"/>
    <w:rsid w:val="00A00F15"/>
    <w:rsid w:val="00A02DAD"/>
    <w:rsid w:val="00A03BFA"/>
    <w:rsid w:val="00A0537D"/>
    <w:rsid w:val="00A05995"/>
    <w:rsid w:val="00A06A2E"/>
    <w:rsid w:val="00A11368"/>
    <w:rsid w:val="00A11666"/>
    <w:rsid w:val="00A12959"/>
    <w:rsid w:val="00A12E46"/>
    <w:rsid w:val="00A14898"/>
    <w:rsid w:val="00A1587C"/>
    <w:rsid w:val="00A16C23"/>
    <w:rsid w:val="00A20D09"/>
    <w:rsid w:val="00A21C54"/>
    <w:rsid w:val="00A21E2D"/>
    <w:rsid w:val="00A23070"/>
    <w:rsid w:val="00A250A0"/>
    <w:rsid w:val="00A258CB"/>
    <w:rsid w:val="00A3006A"/>
    <w:rsid w:val="00A33CFA"/>
    <w:rsid w:val="00A36A0B"/>
    <w:rsid w:val="00A376A9"/>
    <w:rsid w:val="00A37DC8"/>
    <w:rsid w:val="00A4114F"/>
    <w:rsid w:val="00A42A0A"/>
    <w:rsid w:val="00A46237"/>
    <w:rsid w:val="00A46909"/>
    <w:rsid w:val="00A509E2"/>
    <w:rsid w:val="00A53D9D"/>
    <w:rsid w:val="00A544F9"/>
    <w:rsid w:val="00A54B59"/>
    <w:rsid w:val="00A556C0"/>
    <w:rsid w:val="00A55A61"/>
    <w:rsid w:val="00A55C97"/>
    <w:rsid w:val="00A562C9"/>
    <w:rsid w:val="00A601C1"/>
    <w:rsid w:val="00A61250"/>
    <w:rsid w:val="00A65680"/>
    <w:rsid w:val="00A66917"/>
    <w:rsid w:val="00A70D38"/>
    <w:rsid w:val="00A712AD"/>
    <w:rsid w:val="00A721DC"/>
    <w:rsid w:val="00A73014"/>
    <w:rsid w:val="00A7602F"/>
    <w:rsid w:val="00A7686A"/>
    <w:rsid w:val="00A7763C"/>
    <w:rsid w:val="00A821DE"/>
    <w:rsid w:val="00A837FA"/>
    <w:rsid w:val="00A83FD3"/>
    <w:rsid w:val="00A87988"/>
    <w:rsid w:val="00A87F75"/>
    <w:rsid w:val="00A907F9"/>
    <w:rsid w:val="00A9117C"/>
    <w:rsid w:val="00A91311"/>
    <w:rsid w:val="00A927B0"/>
    <w:rsid w:val="00A92E4A"/>
    <w:rsid w:val="00A936C5"/>
    <w:rsid w:val="00A94DA6"/>
    <w:rsid w:val="00A95F93"/>
    <w:rsid w:val="00A96F1E"/>
    <w:rsid w:val="00A97ED7"/>
    <w:rsid w:val="00AA3397"/>
    <w:rsid w:val="00AA3535"/>
    <w:rsid w:val="00AA3692"/>
    <w:rsid w:val="00AB3612"/>
    <w:rsid w:val="00AB5CA4"/>
    <w:rsid w:val="00AB5E4B"/>
    <w:rsid w:val="00AC0D7E"/>
    <w:rsid w:val="00AC2DDA"/>
    <w:rsid w:val="00AC472D"/>
    <w:rsid w:val="00AC5FB0"/>
    <w:rsid w:val="00AC6DA5"/>
    <w:rsid w:val="00AD1333"/>
    <w:rsid w:val="00AD1C2C"/>
    <w:rsid w:val="00AD1E33"/>
    <w:rsid w:val="00AD3ADF"/>
    <w:rsid w:val="00AE28E4"/>
    <w:rsid w:val="00AE7BD0"/>
    <w:rsid w:val="00AF0602"/>
    <w:rsid w:val="00AF074D"/>
    <w:rsid w:val="00AF1720"/>
    <w:rsid w:val="00AF19C0"/>
    <w:rsid w:val="00AF50D4"/>
    <w:rsid w:val="00AF56D0"/>
    <w:rsid w:val="00AF5B02"/>
    <w:rsid w:val="00AF6293"/>
    <w:rsid w:val="00AF66D5"/>
    <w:rsid w:val="00AF6776"/>
    <w:rsid w:val="00B0113A"/>
    <w:rsid w:val="00B012C8"/>
    <w:rsid w:val="00B0323B"/>
    <w:rsid w:val="00B05FF4"/>
    <w:rsid w:val="00B07B8C"/>
    <w:rsid w:val="00B10451"/>
    <w:rsid w:val="00B10656"/>
    <w:rsid w:val="00B107AA"/>
    <w:rsid w:val="00B11F6A"/>
    <w:rsid w:val="00B12337"/>
    <w:rsid w:val="00B17037"/>
    <w:rsid w:val="00B174B9"/>
    <w:rsid w:val="00B2036C"/>
    <w:rsid w:val="00B224C9"/>
    <w:rsid w:val="00B2407A"/>
    <w:rsid w:val="00B2418A"/>
    <w:rsid w:val="00B25459"/>
    <w:rsid w:val="00B25B01"/>
    <w:rsid w:val="00B32D5F"/>
    <w:rsid w:val="00B33E4A"/>
    <w:rsid w:val="00B347D9"/>
    <w:rsid w:val="00B35071"/>
    <w:rsid w:val="00B3560D"/>
    <w:rsid w:val="00B405C2"/>
    <w:rsid w:val="00B419F6"/>
    <w:rsid w:val="00B42040"/>
    <w:rsid w:val="00B45688"/>
    <w:rsid w:val="00B4571B"/>
    <w:rsid w:val="00B46816"/>
    <w:rsid w:val="00B477B7"/>
    <w:rsid w:val="00B50E8A"/>
    <w:rsid w:val="00B51B93"/>
    <w:rsid w:val="00B51C5F"/>
    <w:rsid w:val="00B542F3"/>
    <w:rsid w:val="00B561E9"/>
    <w:rsid w:val="00B57353"/>
    <w:rsid w:val="00B57C3D"/>
    <w:rsid w:val="00B57FC9"/>
    <w:rsid w:val="00B60D4A"/>
    <w:rsid w:val="00B615E9"/>
    <w:rsid w:val="00B616E8"/>
    <w:rsid w:val="00B62EBC"/>
    <w:rsid w:val="00B6525F"/>
    <w:rsid w:val="00B65E1E"/>
    <w:rsid w:val="00B71217"/>
    <w:rsid w:val="00B73788"/>
    <w:rsid w:val="00B75B7B"/>
    <w:rsid w:val="00B76F28"/>
    <w:rsid w:val="00B81583"/>
    <w:rsid w:val="00B82934"/>
    <w:rsid w:val="00B84050"/>
    <w:rsid w:val="00B84AD6"/>
    <w:rsid w:val="00B84B6E"/>
    <w:rsid w:val="00B850F4"/>
    <w:rsid w:val="00B8749C"/>
    <w:rsid w:val="00B87B6A"/>
    <w:rsid w:val="00B916AF"/>
    <w:rsid w:val="00B91BE0"/>
    <w:rsid w:val="00B9396C"/>
    <w:rsid w:val="00B95CE6"/>
    <w:rsid w:val="00B95F8F"/>
    <w:rsid w:val="00B96063"/>
    <w:rsid w:val="00B9650D"/>
    <w:rsid w:val="00B9748B"/>
    <w:rsid w:val="00B97931"/>
    <w:rsid w:val="00BA1AAB"/>
    <w:rsid w:val="00BA1E8F"/>
    <w:rsid w:val="00BA34E3"/>
    <w:rsid w:val="00BA4479"/>
    <w:rsid w:val="00BA52F9"/>
    <w:rsid w:val="00BB2270"/>
    <w:rsid w:val="00BB27AC"/>
    <w:rsid w:val="00BB64E2"/>
    <w:rsid w:val="00BC0477"/>
    <w:rsid w:val="00BC3B9F"/>
    <w:rsid w:val="00BC50AF"/>
    <w:rsid w:val="00BC57B4"/>
    <w:rsid w:val="00BC71EC"/>
    <w:rsid w:val="00BD0440"/>
    <w:rsid w:val="00BD32F3"/>
    <w:rsid w:val="00BD37F9"/>
    <w:rsid w:val="00BD46D3"/>
    <w:rsid w:val="00BD46DF"/>
    <w:rsid w:val="00BD5E69"/>
    <w:rsid w:val="00BD6463"/>
    <w:rsid w:val="00BE1A17"/>
    <w:rsid w:val="00BE1CCE"/>
    <w:rsid w:val="00BE43DD"/>
    <w:rsid w:val="00BE4F35"/>
    <w:rsid w:val="00BE597B"/>
    <w:rsid w:val="00BE73DC"/>
    <w:rsid w:val="00BF0108"/>
    <w:rsid w:val="00BF0BA7"/>
    <w:rsid w:val="00BF1B95"/>
    <w:rsid w:val="00BF239E"/>
    <w:rsid w:val="00BF6877"/>
    <w:rsid w:val="00BF7277"/>
    <w:rsid w:val="00C043AE"/>
    <w:rsid w:val="00C04A39"/>
    <w:rsid w:val="00C04D5C"/>
    <w:rsid w:val="00C060F6"/>
    <w:rsid w:val="00C06409"/>
    <w:rsid w:val="00C067E5"/>
    <w:rsid w:val="00C10FD6"/>
    <w:rsid w:val="00C11DB1"/>
    <w:rsid w:val="00C12A3D"/>
    <w:rsid w:val="00C14C9E"/>
    <w:rsid w:val="00C15BF5"/>
    <w:rsid w:val="00C16C88"/>
    <w:rsid w:val="00C16F0D"/>
    <w:rsid w:val="00C17DD0"/>
    <w:rsid w:val="00C20CFF"/>
    <w:rsid w:val="00C2113A"/>
    <w:rsid w:val="00C216E9"/>
    <w:rsid w:val="00C23582"/>
    <w:rsid w:val="00C23E75"/>
    <w:rsid w:val="00C26962"/>
    <w:rsid w:val="00C26ECF"/>
    <w:rsid w:val="00C2740F"/>
    <w:rsid w:val="00C31182"/>
    <w:rsid w:val="00C33D71"/>
    <w:rsid w:val="00C33EC6"/>
    <w:rsid w:val="00C3638B"/>
    <w:rsid w:val="00C4186A"/>
    <w:rsid w:val="00C420EC"/>
    <w:rsid w:val="00C42478"/>
    <w:rsid w:val="00C43B54"/>
    <w:rsid w:val="00C466C3"/>
    <w:rsid w:val="00C466C6"/>
    <w:rsid w:val="00C47073"/>
    <w:rsid w:val="00C47C19"/>
    <w:rsid w:val="00C528A1"/>
    <w:rsid w:val="00C53691"/>
    <w:rsid w:val="00C54CF6"/>
    <w:rsid w:val="00C55E23"/>
    <w:rsid w:val="00C6091C"/>
    <w:rsid w:val="00C60A5C"/>
    <w:rsid w:val="00C60C76"/>
    <w:rsid w:val="00C61A98"/>
    <w:rsid w:val="00C622C8"/>
    <w:rsid w:val="00C6244A"/>
    <w:rsid w:val="00C6339F"/>
    <w:rsid w:val="00C63EBF"/>
    <w:rsid w:val="00C643F6"/>
    <w:rsid w:val="00C648FB"/>
    <w:rsid w:val="00C649D6"/>
    <w:rsid w:val="00C65A56"/>
    <w:rsid w:val="00C70B18"/>
    <w:rsid w:val="00C72C59"/>
    <w:rsid w:val="00C73E8E"/>
    <w:rsid w:val="00C75721"/>
    <w:rsid w:val="00C76072"/>
    <w:rsid w:val="00C77922"/>
    <w:rsid w:val="00C80432"/>
    <w:rsid w:val="00C82344"/>
    <w:rsid w:val="00C827F8"/>
    <w:rsid w:val="00C83036"/>
    <w:rsid w:val="00C83F89"/>
    <w:rsid w:val="00C84897"/>
    <w:rsid w:val="00C84DA8"/>
    <w:rsid w:val="00C851F3"/>
    <w:rsid w:val="00C869C5"/>
    <w:rsid w:val="00C918D7"/>
    <w:rsid w:val="00C929CD"/>
    <w:rsid w:val="00C934DE"/>
    <w:rsid w:val="00CA0826"/>
    <w:rsid w:val="00CA2588"/>
    <w:rsid w:val="00CA447F"/>
    <w:rsid w:val="00CA4E43"/>
    <w:rsid w:val="00CA78A6"/>
    <w:rsid w:val="00CA78B0"/>
    <w:rsid w:val="00CA78B1"/>
    <w:rsid w:val="00CB3582"/>
    <w:rsid w:val="00CB3D73"/>
    <w:rsid w:val="00CB621B"/>
    <w:rsid w:val="00CC1D42"/>
    <w:rsid w:val="00CC40CD"/>
    <w:rsid w:val="00CC4849"/>
    <w:rsid w:val="00CC76B4"/>
    <w:rsid w:val="00CD017F"/>
    <w:rsid w:val="00CD04C4"/>
    <w:rsid w:val="00CD1D78"/>
    <w:rsid w:val="00CD21C2"/>
    <w:rsid w:val="00CD2411"/>
    <w:rsid w:val="00CD3E47"/>
    <w:rsid w:val="00CD4AF9"/>
    <w:rsid w:val="00CD4B79"/>
    <w:rsid w:val="00CD4F4E"/>
    <w:rsid w:val="00CD7B0E"/>
    <w:rsid w:val="00CE3014"/>
    <w:rsid w:val="00CE3A8B"/>
    <w:rsid w:val="00CE4886"/>
    <w:rsid w:val="00CE71FD"/>
    <w:rsid w:val="00CE72EA"/>
    <w:rsid w:val="00CF0592"/>
    <w:rsid w:val="00CF0FCE"/>
    <w:rsid w:val="00CF1D14"/>
    <w:rsid w:val="00CF1E51"/>
    <w:rsid w:val="00CF2175"/>
    <w:rsid w:val="00CF2215"/>
    <w:rsid w:val="00CF3713"/>
    <w:rsid w:val="00CF4A23"/>
    <w:rsid w:val="00D00DAE"/>
    <w:rsid w:val="00D03180"/>
    <w:rsid w:val="00D03376"/>
    <w:rsid w:val="00D04902"/>
    <w:rsid w:val="00D04977"/>
    <w:rsid w:val="00D05C78"/>
    <w:rsid w:val="00D06342"/>
    <w:rsid w:val="00D072A6"/>
    <w:rsid w:val="00D07F4F"/>
    <w:rsid w:val="00D105F9"/>
    <w:rsid w:val="00D11958"/>
    <w:rsid w:val="00D11F7F"/>
    <w:rsid w:val="00D11FAB"/>
    <w:rsid w:val="00D141B3"/>
    <w:rsid w:val="00D14E3C"/>
    <w:rsid w:val="00D17564"/>
    <w:rsid w:val="00D24627"/>
    <w:rsid w:val="00D262E9"/>
    <w:rsid w:val="00D26E1D"/>
    <w:rsid w:val="00D31356"/>
    <w:rsid w:val="00D31A5E"/>
    <w:rsid w:val="00D33480"/>
    <w:rsid w:val="00D3348D"/>
    <w:rsid w:val="00D33D86"/>
    <w:rsid w:val="00D34218"/>
    <w:rsid w:val="00D3750D"/>
    <w:rsid w:val="00D401B0"/>
    <w:rsid w:val="00D42E68"/>
    <w:rsid w:val="00D43956"/>
    <w:rsid w:val="00D4493C"/>
    <w:rsid w:val="00D44D1F"/>
    <w:rsid w:val="00D44FC5"/>
    <w:rsid w:val="00D47787"/>
    <w:rsid w:val="00D54575"/>
    <w:rsid w:val="00D54798"/>
    <w:rsid w:val="00D551AC"/>
    <w:rsid w:val="00D55EBB"/>
    <w:rsid w:val="00D566C1"/>
    <w:rsid w:val="00D57CB7"/>
    <w:rsid w:val="00D6002E"/>
    <w:rsid w:val="00D60728"/>
    <w:rsid w:val="00D610F5"/>
    <w:rsid w:val="00D613CC"/>
    <w:rsid w:val="00D6281E"/>
    <w:rsid w:val="00D635F2"/>
    <w:rsid w:val="00D637A1"/>
    <w:rsid w:val="00D6496A"/>
    <w:rsid w:val="00D64DEC"/>
    <w:rsid w:val="00D65644"/>
    <w:rsid w:val="00D659FF"/>
    <w:rsid w:val="00D65C21"/>
    <w:rsid w:val="00D66BA1"/>
    <w:rsid w:val="00D67100"/>
    <w:rsid w:val="00D67A95"/>
    <w:rsid w:val="00D724F6"/>
    <w:rsid w:val="00D73AAE"/>
    <w:rsid w:val="00D73BCA"/>
    <w:rsid w:val="00D77A95"/>
    <w:rsid w:val="00D80B4C"/>
    <w:rsid w:val="00D811DE"/>
    <w:rsid w:val="00D81A1C"/>
    <w:rsid w:val="00D81B6A"/>
    <w:rsid w:val="00D81DE1"/>
    <w:rsid w:val="00D82297"/>
    <w:rsid w:val="00D827AC"/>
    <w:rsid w:val="00D82F65"/>
    <w:rsid w:val="00D84250"/>
    <w:rsid w:val="00D85A2B"/>
    <w:rsid w:val="00D877F0"/>
    <w:rsid w:val="00D925EB"/>
    <w:rsid w:val="00D93BD7"/>
    <w:rsid w:val="00D94A4B"/>
    <w:rsid w:val="00D94BEA"/>
    <w:rsid w:val="00D95420"/>
    <w:rsid w:val="00D966D9"/>
    <w:rsid w:val="00D9730D"/>
    <w:rsid w:val="00D978BF"/>
    <w:rsid w:val="00DA0A60"/>
    <w:rsid w:val="00DA28D7"/>
    <w:rsid w:val="00DA306C"/>
    <w:rsid w:val="00DA39CC"/>
    <w:rsid w:val="00DA3F43"/>
    <w:rsid w:val="00DA48F9"/>
    <w:rsid w:val="00DA5C0F"/>
    <w:rsid w:val="00DA619B"/>
    <w:rsid w:val="00DA724F"/>
    <w:rsid w:val="00DB04BA"/>
    <w:rsid w:val="00DB0E5B"/>
    <w:rsid w:val="00DB29DF"/>
    <w:rsid w:val="00DB50EB"/>
    <w:rsid w:val="00DB5EA2"/>
    <w:rsid w:val="00DB625B"/>
    <w:rsid w:val="00DB6480"/>
    <w:rsid w:val="00DB7CE2"/>
    <w:rsid w:val="00DC273F"/>
    <w:rsid w:val="00DC5024"/>
    <w:rsid w:val="00DC5FF6"/>
    <w:rsid w:val="00DC6015"/>
    <w:rsid w:val="00DD01CC"/>
    <w:rsid w:val="00DD1373"/>
    <w:rsid w:val="00DD2A17"/>
    <w:rsid w:val="00DD3C04"/>
    <w:rsid w:val="00DD408D"/>
    <w:rsid w:val="00DD4241"/>
    <w:rsid w:val="00DD4CB9"/>
    <w:rsid w:val="00DD6642"/>
    <w:rsid w:val="00DD6833"/>
    <w:rsid w:val="00DD76D6"/>
    <w:rsid w:val="00DD7818"/>
    <w:rsid w:val="00DE08A1"/>
    <w:rsid w:val="00DE1305"/>
    <w:rsid w:val="00DE15FA"/>
    <w:rsid w:val="00DE33ED"/>
    <w:rsid w:val="00DE524B"/>
    <w:rsid w:val="00DE6FD5"/>
    <w:rsid w:val="00DE74BA"/>
    <w:rsid w:val="00DE7E76"/>
    <w:rsid w:val="00DF29E3"/>
    <w:rsid w:val="00DF3EF1"/>
    <w:rsid w:val="00DF63D5"/>
    <w:rsid w:val="00DF71FC"/>
    <w:rsid w:val="00DF7E0E"/>
    <w:rsid w:val="00E00CEA"/>
    <w:rsid w:val="00E00F39"/>
    <w:rsid w:val="00E015DF"/>
    <w:rsid w:val="00E01737"/>
    <w:rsid w:val="00E01816"/>
    <w:rsid w:val="00E024A0"/>
    <w:rsid w:val="00E06608"/>
    <w:rsid w:val="00E0706B"/>
    <w:rsid w:val="00E07793"/>
    <w:rsid w:val="00E07913"/>
    <w:rsid w:val="00E133E9"/>
    <w:rsid w:val="00E21B65"/>
    <w:rsid w:val="00E22E94"/>
    <w:rsid w:val="00E23FA0"/>
    <w:rsid w:val="00E24D87"/>
    <w:rsid w:val="00E2563F"/>
    <w:rsid w:val="00E25E02"/>
    <w:rsid w:val="00E26975"/>
    <w:rsid w:val="00E26AB8"/>
    <w:rsid w:val="00E31690"/>
    <w:rsid w:val="00E32999"/>
    <w:rsid w:val="00E334D7"/>
    <w:rsid w:val="00E344D0"/>
    <w:rsid w:val="00E36AF1"/>
    <w:rsid w:val="00E37C99"/>
    <w:rsid w:val="00E37DE3"/>
    <w:rsid w:val="00E4035F"/>
    <w:rsid w:val="00E41079"/>
    <w:rsid w:val="00E41CEC"/>
    <w:rsid w:val="00E42617"/>
    <w:rsid w:val="00E43CAC"/>
    <w:rsid w:val="00E45BFE"/>
    <w:rsid w:val="00E4613C"/>
    <w:rsid w:val="00E47866"/>
    <w:rsid w:val="00E50419"/>
    <w:rsid w:val="00E50E2A"/>
    <w:rsid w:val="00E51FF9"/>
    <w:rsid w:val="00E53472"/>
    <w:rsid w:val="00E551B2"/>
    <w:rsid w:val="00E569EB"/>
    <w:rsid w:val="00E57680"/>
    <w:rsid w:val="00E60320"/>
    <w:rsid w:val="00E617F5"/>
    <w:rsid w:val="00E62208"/>
    <w:rsid w:val="00E63746"/>
    <w:rsid w:val="00E652F1"/>
    <w:rsid w:val="00E653A0"/>
    <w:rsid w:val="00E6564E"/>
    <w:rsid w:val="00E656A9"/>
    <w:rsid w:val="00E6666B"/>
    <w:rsid w:val="00E6744F"/>
    <w:rsid w:val="00E71053"/>
    <w:rsid w:val="00E71862"/>
    <w:rsid w:val="00E720E5"/>
    <w:rsid w:val="00E7356D"/>
    <w:rsid w:val="00E73797"/>
    <w:rsid w:val="00E7393E"/>
    <w:rsid w:val="00E73981"/>
    <w:rsid w:val="00E74948"/>
    <w:rsid w:val="00E764F1"/>
    <w:rsid w:val="00E7692C"/>
    <w:rsid w:val="00E80C81"/>
    <w:rsid w:val="00E82E58"/>
    <w:rsid w:val="00E83E18"/>
    <w:rsid w:val="00E84531"/>
    <w:rsid w:val="00E872C0"/>
    <w:rsid w:val="00E87929"/>
    <w:rsid w:val="00E879CF"/>
    <w:rsid w:val="00E90B69"/>
    <w:rsid w:val="00E93739"/>
    <w:rsid w:val="00E96DDC"/>
    <w:rsid w:val="00E971FC"/>
    <w:rsid w:val="00E9749C"/>
    <w:rsid w:val="00E97776"/>
    <w:rsid w:val="00E97F32"/>
    <w:rsid w:val="00EA02DF"/>
    <w:rsid w:val="00EA07F4"/>
    <w:rsid w:val="00EA2064"/>
    <w:rsid w:val="00EA349C"/>
    <w:rsid w:val="00EA7A92"/>
    <w:rsid w:val="00EB282E"/>
    <w:rsid w:val="00EB2A00"/>
    <w:rsid w:val="00EB2CCB"/>
    <w:rsid w:val="00EB2D97"/>
    <w:rsid w:val="00EB3071"/>
    <w:rsid w:val="00EB335D"/>
    <w:rsid w:val="00EB337C"/>
    <w:rsid w:val="00EB4BBB"/>
    <w:rsid w:val="00EB5EC5"/>
    <w:rsid w:val="00EB7B79"/>
    <w:rsid w:val="00EB7E0A"/>
    <w:rsid w:val="00EC1050"/>
    <w:rsid w:val="00EC166D"/>
    <w:rsid w:val="00EC27FD"/>
    <w:rsid w:val="00EC3CB5"/>
    <w:rsid w:val="00EC3EB2"/>
    <w:rsid w:val="00EC4656"/>
    <w:rsid w:val="00EC5CBB"/>
    <w:rsid w:val="00ED24FF"/>
    <w:rsid w:val="00ED3218"/>
    <w:rsid w:val="00ED50A2"/>
    <w:rsid w:val="00ED5A41"/>
    <w:rsid w:val="00EE1211"/>
    <w:rsid w:val="00EE1ADF"/>
    <w:rsid w:val="00EE3A46"/>
    <w:rsid w:val="00EE52BA"/>
    <w:rsid w:val="00EE52F2"/>
    <w:rsid w:val="00EE5E42"/>
    <w:rsid w:val="00EE60E2"/>
    <w:rsid w:val="00EE61D2"/>
    <w:rsid w:val="00EE776C"/>
    <w:rsid w:val="00EF1AD2"/>
    <w:rsid w:val="00EF2B0F"/>
    <w:rsid w:val="00EF4AE0"/>
    <w:rsid w:val="00EF4B82"/>
    <w:rsid w:val="00EF69A1"/>
    <w:rsid w:val="00EF7233"/>
    <w:rsid w:val="00EF7951"/>
    <w:rsid w:val="00F01A83"/>
    <w:rsid w:val="00F025DC"/>
    <w:rsid w:val="00F02B4C"/>
    <w:rsid w:val="00F031B0"/>
    <w:rsid w:val="00F03A1C"/>
    <w:rsid w:val="00F03A9D"/>
    <w:rsid w:val="00F04FC9"/>
    <w:rsid w:val="00F055F0"/>
    <w:rsid w:val="00F06A36"/>
    <w:rsid w:val="00F10572"/>
    <w:rsid w:val="00F117E2"/>
    <w:rsid w:val="00F11CAC"/>
    <w:rsid w:val="00F137F4"/>
    <w:rsid w:val="00F13F7E"/>
    <w:rsid w:val="00F14E5E"/>
    <w:rsid w:val="00F150B4"/>
    <w:rsid w:val="00F16935"/>
    <w:rsid w:val="00F173E7"/>
    <w:rsid w:val="00F20DCB"/>
    <w:rsid w:val="00F23AEE"/>
    <w:rsid w:val="00F244E8"/>
    <w:rsid w:val="00F2641E"/>
    <w:rsid w:val="00F27339"/>
    <w:rsid w:val="00F317F8"/>
    <w:rsid w:val="00F330CD"/>
    <w:rsid w:val="00F3388B"/>
    <w:rsid w:val="00F341A5"/>
    <w:rsid w:val="00F35011"/>
    <w:rsid w:val="00F35CFF"/>
    <w:rsid w:val="00F36978"/>
    <w:rsid w:val="00F36CCB"/>
    <w:rsid w:val="00F37E7D"/>
    <w:rsid w:val="00F4133D"/>
    <w:rsid w:val="00F4180C"/>
    <w:rsid w:val="00F44BB5"/>
    <w:rsid w:val="00F44D2F"/>
    <w:rsid w:val="00F45662"/>
    <w:rsid w:val="00F4702A"/>
    <w:rsid w:val="00F47F81"/>
    <w:rsid w:val="00F50305"/>
    <w:rsid w:val="00F514F8"/>
    <w:rsid w:val="00F51E37"/>
    <w:rsid w:val="00F521CB"/>
    <w:rsid w:val="00F53CE8"/>
    <w:rsid w:val="00F54AEC"/>
    <w:rsid w:val="00F5575B"/>
    <w:rsid w:val="00F56C22"/>
    <w:rsid w:val="00F60077"/>
    <w:rsid w:val="00F60AB4"/>
    <w:rsid w:val="00F60EBB"/>
    <w:rsid w:val="00F6286B"/>
    <w:rsid w:val="00F62C33"/>
    <w:rsid w:val="00F639E8"/>
    <w:rsid w:val="00F64647"/>
    <w:rsid w:val="00F64ACB"/>
    <w:rsid w:val="00F65A3A"/>
    <w:rsid w:val="00F71D5F"/>
    <w:rsid w:val="00F73A93"/>
    <w:rsid w:val="00F76CBB"/>
    <w:rsid w:val="00F776AB"/>
    <w:rsid w:val="00F77A20"/>
    <w:rsid w:val="00F83111"/>
    <w:rsid w:val="00F83BD9"/>
    <w:rsid w:val="00F8440C"/>
    <w:rsid w:val="00F845EA"/>
    <w:rsid w:val="00F84E08"/>
    <w:rsid w:val="00F8636B"/>
    <w:rsid w:val="00F865B6"/>
    <w:rsid w:val="00F877FB"/>
    <w:rsid w:val="00FA2AB9"/>
    <w:rsid w:val="00FA2B33"/>
    <w:rsid w:val="00FA2C5F"/>
    <w:rsid w:val="00FA510D"/>
    <w:rsid w:val="00FA5528"/>
    <w:rsid w:val="00FA5589"/>
    <w:rsid w:val="00FA595B"/>
    <w:rsid w:val="00FA5A84"/>
    <w:rsid w:val="00FA5FAF"/>
    <w:rsid w:val="00FA7C73"/>
    <w:rsid w:val="00FA7DD3"/>
    <w:rsid w:val="00FB07C1"/>
    <w:rsid w:val="00FB256C"/>
    <w:rsid w:val="00FB3F44"/>
    <w:rsid w:val="00FB5313"/>
    <w:rsid w:val="00FB6611"/>
    <w:rsid w:val="00FC21C3"/>
    <w:rsid w:val="00FC2657"/>
    <w:rsid w:val="00FC3B5D"/>
    <w:rsid w:val="00FC60A5"/>
    <w:rsid w:val="00FC61B3"/>
    <w:rsid w:val="00FD1BF4"/>
    <w:rsid w:val="00FD1FFF"/>
    <w:rsid w:val="00FD2CE6"/>
    <w:rsid w:val="00FD31CE"/>
    <w:rsid w:val="00FD6341"/>
    <w:rsid w:val="00FD6457"/>
    <w:rsid w:val="00FD799E"/>
    <w:rsid w:val="00FD7EAE"/>
    <w:rsid w:val="00FE0F65"/>
    <w:rsid w:val="00FE171A"/>
    <w:rsid w:val="00FE2B1B"/>
    <w:rsid w:val="00FE3F2A"/>
    <w:rsid w:val="00FE3FAD"/>
    <w:rsid w:val="00FE5D2E"/>
    <w:rsid w:val="00FE674C"/>
    <w:rsid w:val="00FE72AE"/>
    <w:rsid w:val="00FF19AD"/>
    <w:rsid w:val="00FF22A6"/>
    <w:rsid w:val="00FF4E57"/>
    <w:rsid w:val="00FF70EA"/>
    <w:rsid w:val="00FF7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shapelayout>
  </w:shapeDefaults>
  <w:decimalSymbol w:val="."/>
  <w:listSeparator w:val=","/>
  <w14:docId w14:val="76F1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uiPriority="35" w:qFormat="1"/>
    <w:lsdException w:name="envelope address" w:semiHidden="1" w:unhideWhenUsed="1"/>
    <w:lsdException w:name="envelope return" w:semiHidden="1" w:unhideWhenUsed="1"/>
    <w:lsdException w:name="footnote reference" w:uiPriority="99"/>
    <w:lsdException w:name="line number" w:semiHidden="1" w:unhideWhenUsed="1"/>
    <w:lsdException w:name="List" w:semiHidden="1" w:unhideWhenUsed="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Default Paragraph Font" w:uiPriority="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1"/>
    <w:lsdException w:name="Subtitle" w:uiPriority="1"/>
    <w:lsdException w:name="Body Text First Indent" w:semiHidden="1" w:unhideWhenUsed="1"/>
    <w:lsdException w:name="Body Text First Indent 2" w:semiHidden="1" w:unhideWhenUsed="1"/>
    <w:lsdException w:name="Note Heading" w:uiPriority="2"/>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semiHidden="1"/>
    <w:lsdException w:name="Emphasis" w:semiHidden="1" w:unhideWhenUsed="1" w:qFormat="1"/>
    <w:lsdException w:name="E-mail Signature"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Balloon Text" w:uiPriority="99"/>
    <w:lsdException w:name="Table Grid" w:uiPriority="59"/>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DC2"/>
    <w:pPr>
      <w:spacing w:after="240" w:line="276" w:lineRule="auto"/>
    </w:pPr>
    <w:rPr>
      <w:rFonts w:ascii="Arial" w:hAnsi="Arial"/>
      <w:sz w:val="22"/>
    </w:rPr>
  </w:style>
  <w:style w:type="paragraph" w:styleId="Heading1">
    <w:name w:val="heading 1"/>
    <w:basedOn w:val="Normal"/>
    <w:next w:val="Normal"/>
    <w:link w:val="Heading1Char"/>
    <w:qFormat/>
    <w:rsid w:val="00157DC2"/>
    <w:pPr>
      <w:keepNext/>
      <w:numPr>
        <w:numId w:val="29"/>
      </w:numPr>
      <w:spacing w:before="240" w:after="360" w:line="600" w:lineRule="exact"/>
      <w:ind w:left="357" w:hanging="357"/>
      <w:outlineLvl w:val="0"/>
    </w:pPr>
    <w:rPr>
      <w:rFonts w:cs="Arial"/>
      <w:b/>
      <w:bCs/>
      <w:color w:val="000000" w:themeColor="text1"/>
      <w:kern w:val="32"/>
      <w:sz w:val="66"/>
      <w:szCs w:val="36"/>
    </w:rPr>
  </w:style>
  <w:style w:type="paragraph" w:styleId="Heading2">
    <w:name w:val="heading 2"/>
    <w:basedOn w:val="Heading1"/>
    <w:next w:val="Normal"/>
    <w:link w:val="Heading2Char"/>
    <w:qFormat/>
    <w:rsid w:val="000D0ADB"/>
    <w:pPr>
      <w:numPr>
        <w:ilvl w:val="1"/>
      </w:numPr>
      <w:pBdr>
        <w:top w:val="single" w:sz="12" w:space="3" w:color="31A7D4" w:themeColor="accent1"/>
        <w:bottom w:val="single" w:sz="12" w:space="3" w:color="31A7D4" w:themeColor="accent1"/>
      </w:pBdr>
      <w:spacing w:line="240" w:lineRule="auto"/>
      <w:ind w:left="851" w:hanging="851"/>
      <w:outlineLvl w:val="1"/>
    </w:pPr>
    <w:rPr>
      <w:sz w:val="40"/>
    </w:rPr>
  </w:style>
  <w:style w:type="paragraph" w:styleId="Heading3">
    <w:name w:val="heading 3"/>
    <w:basedOn w:val="Normal"/>
    <w:next w:val="Normal"/>
    <w:link w:val="Heading3Char"/>
    <w:unhideWhenUsed/>
    <w:qFormat/>
    <w:rsid w:val="00157DC2"/>
    <w:pPr>
      <w:keepNext/>
      <w:keepLines/>
      <w:spacing w:before="240" w:after="180" w:line="240" w:lineRule="auto"/>
      <w:outlineLvl w:val="2"/>
    </w:pPr>
    <w:rPr>
      <w:rFonts w:eastAsiaTheme="majorEastAsia" w:cstheme="majorBidi"/>
      <w:b/>
      <w:bCs/>
      <w:color w:val="31A7D4" w:themeColor="accent1"/>
      <w:sz w:val="30"/>
    </w:rPr>
  </w:style>
  <w:style w:type="paragraph" w:styleId="Heading4">
    <w:name w:val="heading 4"/>
    <w:basedOn w:val="Normal"/>
    <w:next w:val="Normal"/>
    <w:link w:val="Heading4Char"/>
    <w:unhideWhenUsed/>
    <w:qFormat/>
    <w:rsid w:val="00157DC2"/>
    <w:pPr>
      <w:keepNext/>
      <w:keepLines/>
      <w:spacing w:before="240" w:after="180"/>
      <w:outlineLvl w:val="3"/>
    </w:pPr>
    <w:rPr>
      <w:rFonts w:eastAsiaTheme="majorEastAsia" w:cstheme="majorBidi"/>
      <w:b/>
      <w:bCs/>
      <w:iCs/>
      <w:color w:val="31A7D4" w:themeColor="accent1"/>
      <w:sz w:val="26"/>
    </w:rPr>
  </w:style>
  <w:style w:type="paragraph" w:styleId="Heading5">
    <w:name w:val="heading 5"/>
    <w:basedOn w:val="Normal"/>
    <w:next w:val="Normal"/>
    <w:link w:val="Heading5Char"/>
    <w:unhideWhenUsed/>
    <w:qFormat/>
    <w:rsid w:val="00157DC2"/>
    <w:pPr>
      <w:keepNext/>
      <w:keepLines/>
      <w:spacing w:before="240" w:after="120"/>
      <w:outlineLvl w:val="4"/>
    </w:pPr>
    <w:rPr>
      <w:rFonts w:eastAsiaTheme="majorEastAsia" w:cstheme="majorBidi"/>
      <w:b/>
      <w:color w:val="31A7D4" w:themeColor="accent1"/>
    </w:rPr>
  </w:style>
  <w:style w:type="paragraph" w:styleId="Heading6">
    <w:name w:val="heading 6"/>
    <w:basedOn w:val="HeadingBase"/>
    <w:next w:val="Normal"/>
    <w:semiHidden/>
    <w:rsid w:val="00B347D9"/>
    <w:pPr>
      <w:numPr>
        <w:ilvl w:val="5"/>
        <w:numId w:val="15"/>
      </w:numPr>
      <w:spacing w:after="120"/>
      <w:outlineLvl w:val="5"/>
    </w:pPr>
    <w:rPr>
      <w:bCs/>
      <w:sz w:val="22"/>
      <w:szCs w:val="22"/>
    </w:rPr>
  </w:style>
  <w:style w:type="paragraph" w:styleId="Heading7">
    <w:name w:val="heading 7"/>
    <w:basedOn w:val="HeadingBase"/>
    <w:next w:val="Normal"/>
    <w:semiHidden/>
    <w:rsid w:val="00A16C23"/>
    <w:pPr>
      <w:numPr>
        <w:ilvl w:val="6"/>
        <w:numId w:val="15"/>
      </w:numPr>
      <w:spacing w:after="120"/>
      <w:outlineLvl w:val="6"/>
    </w:pPr>
    <w:rPr>
      <w:szCs w:val="24"/>
    </w:rPr>
  </w:style>
  <w:style w:type="paragraph" w:styleId="Heading8">
    <w:name w:val="heading 8"/>
    <w:basedOn w:val="HeadingBase"/>
    <w:next w:val="Normal"/>
    <w:semiHidden/>
    <w:rsid w:val="00942526"/>
    <w:pPr>
      <w:numPr>
        <w:ilvl w:val="7"/>
        <w:numId w:val="15"/>
      </w:numPr>
      <w:spacing w:before="60" w:after="60"/>
      <w:jc w:val="center"/>
      <w:outlineLvl w:val="7"/>
    </w:pPr>
    <w:rPr>
      <w:iCs/>
      <w:smallCaps/>
      <w:sz w:val="22"/>
      <w:szCs w:val="24"/>
    </w:rPr>
  </w:style>
  <w:style w:type="paragraph" w:styleId="Heading9">
    <w:name w:val="heading 9"/>
    <w:basedOn w:val="HeadingBase"/>
    <w:next w:val="Normal"/>
    <w:semiHidden/>
    <w:rsid w:val="00942526"/>
    <w:pPr>
      <w:numPr>
        <w:ilvl w:val="8"/>
        <w:numId w:val="15"/>
      </w:num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FE674C"/>
    <w:pPr>
      <w:spacing w:after="0"/>
    </w:pPr>
  </w:style>
  <w:style w:type="character" w:styleId="Hyperlink">
    <w:name w:val="Hyperlink"/>
    <w:basedOn w:val="DefaultParagraphFont"/>
    <w:uiPriority w:val="99"/>
    <w:unhideWhenUsed/>
    <w:rsid w:val="00424549"/>
    <w:rPr>
      <w:color w:val="31A7D4" w:themeColor="text2"/>
      <w:u w:val="none"/>
    </w:rPr>
  </w:style>
  <w:style w:type="character" w:customStyle="1" w:styleId="BoldandItalic">
    <w:name w:val="Bold and Italic"/>
    <w:basedOn w:val="DefaultParagraphFont"/>
    <w:rsid w:val="00D3750D"/>
    <w:rPr>
      <w:rFonts w:ascii="Calibri" w:hAnsi="Calibri"/>
      <w:b/>
      <w:i/>
    </w:rPr>
  </w:style>
  <w:style w:type="table" w:styleId="TableGrid">
    <w:name w:val="Table Grid"/>
    <w:basedOn w:val="TableNormal"/>
    <w:uiPriority w:val="59"/>
    <w:rsid w:val="00157DC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Base">
    <w:name w:val="Table Column Heading Base"/>
    <w:basedOn w:val="Normal"/>
    <w:uiPriority w:val="1"/>
    <w:unhideWhenUsed/>
    <w:rsid w:val="00634574"/>
    <w:pPr>
      <w:spacing w:before="40" w:after="40"/>
    </w:pPr>
    <w:rPr>
      <w:b/>
      <w:color w:val="009976"/>
      <w:sz w:val="16"/>
    </w:rPr>
  </w:style>
  <w:style w:type="paragraph" w:styleId="FootnoteText">
    <w:name w:val="footnote text"/>
    <w:basedOn w:val="Normal"/>
    <w:link w:val="FootnoteTextChar"/>
    <w:uiPriority w:val="99"/>
    <w:rsid w:val="00157DC2"/>
    <w:pPr>
      <w:spacing w:before="40" w:after="0" w:line="240" w:lineRule="auto"/>
      <w:ind w:left="426" w:hanging="426"/>
    </w:pPr>
    <w:rPr>
      <w:sz w:val="18"/>
    </w:rPr>
  </w:style>
  <w:style w:type="paragraph" w:customStyle="1" w:styleId="Bullet">
    <w:name w:val="Bullet"/>
    <w:aliases w:val="b,b1,b + line,Body,level 1"/>
    <w:basedOn w:val="Normal"/>
    <w:link w:val="BulletChar"/>
    <w:qFormat/>
    <w:rsid w:val="00F37E7D"/>
    <w:pPr>
      <w:numPr>
        <w:numId w:val="1"/>
      </w:numPr>
      <w:spacing w:after="120"/>
      <w:ind w:left="1134" w:hanging="567"/>
    </w:pPr>
  </w:style>
  <w:style w:type="paragraph" w:customStyle="1" w:styleId="Dash">
    <w:name w:val="Dash"/>
    <w:basedOn w:val="Normal"/>
    <w:rsid w:val="00157DC2"/>
    <w:pPr>
      <w:numPr>
        <w:ilvl w:val="1"/>
        <w:numId w:val="1"/>
      </w:numPr>
      <w:tabs>
        <w:tab w:val="clear" w:pos="1134"/>
        <w:tab w:val="num" w:pos="993"/>
      </w:tabs>
      <w:spacing w:before="120" w:after="120" w:line="240" w:lineRule="auto"/>
      <w:ind w:left="993" w:hanging="427"/>
    </w:pPr>
    <w:rPr>
      <w:color w:val="000000" w:themeColor="text1"/>
    </w:rPr>
  </w:style>
  <w:style w:type="paragraph" w:customStyle="1" w:styleId="DoubleDot">
    <w:name w:val="Double Dot"/>
    <w:basedOn w:val="Normal"/>
    <w:rsid w:val="00157DC2"/>
    <w:pPr>
      <w:numPr>
        <w:ilvl w:val="2"/>
        <w:numId w:val="1"/>
      </w:numPr>
      <w:tabs>
        <w:tab w:val="clear" w:pos="1700"/>
        <w:tab w:val="num" w:pos="1276"/>
      </w:tabs>
      <w:spacing w:before="120" w:after="120" w:line="240" w:lineRule="auto"/>
      <w:ind w:left="1276" w:hanging="283"/>
    </w:pPr>
    <w:rPr>
      <w:color w:val="000000" w:themeColor="text1"/>
    </w:rPr>
  </w:style>
  <w:style w:type="paragraph" w:customStyle="1" w:styleId="OutlineNumbered1">
    <w:name w:val="Outline Numbered 1"/>
    <w:basedOn w:val="Normal"/>
    <w:rsid w:val="00C622C8"/>
    <w:pPr>
      <w:numPr>
        <w:numId w:val="9"/>
      </w:numPr>
      <w:spacing w:line="280" w:lineRule="exact"/>
      <w:jc w:val="both"/>
    </w:pPr>
  </w:style>
  <w:style w:type="paragraph" w:customStyle="1" w:styleId="OutlineNumbered2">
    <w:name w:val="Outline Numbered 2"/>
    <w:basedOn w:val="Normal"/>
    <w:qFormat/>
    <w:rsid w:val="00C622C8"/>
    <w:pPr>
      <w:numPr>
        <w:ilvl w:val="1"/>
        <w:numId w:val="8"/>
      </w:numPr>
      <w:spacing w:line="280" w:lineRule="exact"/>
      <w:jc w:val="both"/>
    </w:pPr>
  </w:style>
  <w:style w:type="paragraph" w:customStyle="1" w:styleId="OutlineNumbered3">
    <w:name w:val="Outline Numbered 3"/>
    <w:basedOn w:val="Normal"/>
    <w:rsid w:val="00C622C8"/>
    <w:pPr>
      <w:numPr>
        <w:ilvl w:val="2"/>
        <w:numId w:val="9"/>
      </w:numPr>
      <w:spacing w:line="280" w:lineRule="exact"/>
      <w:jc w:val="both"/>
    </w:pPr>
  </w:style>
  <w:style w:type="paragraph" w:customStyle="1" w:styleId="AlphaParagraph">
    <w:name w:val="Alpha Paragraph"/>
    <w:basedOn w:val="Normal"/>
    <w:uiPriority w:val="1"/>
    <w:rsid w:val="00A16C23"/>
    <w:pPr>
      <w:numPr>
        <w:numId w:val="2"/>
      </w:numPr>
    </w:pPr>
  </w:style>
  <w:style w:type="paragraph" w:customStyle="1" w:styleId="HeadingBase">
    <w:name w:val="Heading Base"/>
    <w:next w:val="Normal"/>
    <w:link w:val="HeadingBaseChar"/>
    <w:rsid w:val="00424549"/>
    <w:pPr>
      <w:keepNext/>
    </w:pPr>
    <w:rPr>
      <w:rFonts w:ascii="Calibri" w:hAnsi="Calibri"/>
      <w:color w:val="31A7D4" w:themeColor="accent1"/>
    </w:rPr>
  </w:style>
  <w:style w:type="paragraph" w:customStyle="1" w:styleId="AppendixHeading">
    <w:name w:val="Appendix Heading"/>
    <w:basedOn w:val="HeadingBase"/>
    <w:next w:val="Normal"/>
    <w:rsid w:val="00D3750D"/>
    <w:pPr>
      <w:spacing w:before="720" w:after="360"/>
      <w:outlineLvl w:val="0"/>
    </w:pPr>
    <w:rPr>
      <w:b/>
      <w:smallCaps/>
      <w:sz w:val="36"/>
      <w:szCs w:val="36"/>
    </w:rPr>
  </w:style>
  <w:style w:type="character" w:customStyle="1" w:styleId="Bold">
    <w:name w:val="Bold"/>
    <w:basedOn w:val="DefaultParagraphFont"/>
    <w:rsid w:val="00A16C23"/>
    <w:rPr>
      <w:b/>
    </w:rPr>
  </w:style>
  <w:style w:type="paragraph" w:customStyle="1" w:styleId="BoxHeading">
    <w:name w:val="Box Heading"/>
    <w:basedOn w:val="Caption"/>
    <w:next w:val="BoxText"/>
    <w:unhideWhenUsed/>
    <w:rsid w:val="00157DC2"/>
    <w:rPr>
      <w:sz w:val="28"/>
      <w:szCs w:val="28"/>
    </w:rPr>
  </w:style>
  <w:style w:type="paragraph" w:customStyle="1" w:styleId="BoxTextBase">
    <w:name w:val="Box Text Base"/>
    <w:basedOn w:val="Normal"/>
    <w:unhideWhenUsed/>
    <w:rsid w:val="00157DC2"/>
    <w:pPr>
      <w:shd w:val="clear" w:color="auto" w:fill="EBEAEA" w:themeFill="accent6" w:themeFillTint="33"/>
      <w:spacing w:before="120" w:line="240" w:lineRule="auto"/>
    </w:pPr>
    <w:rPr>
      <w:color w:val="000000" w:themeColor="text1"/>
    </w:rPr>
  </w:style>
  <w:style w:type="paragraph" w:customStyle="1" w:styleId="ChartandTableFootnoteAlpha">
    <w:name w:val="Chart and Table Footnote Alpha"/>
    <w:rsid w:val="00157DC2"/>
    <w:pPr>
      <w:numPr>
        <w:numId w:val="3"/>
      </w:numPr>
      <w:tabs>
        <w:tab w:val="clear" w:pos="283"/>
        <w:tab w:val="num" w:pos="360"/>
      </w:tabs>
      <w:ind w:left="0" w:firstLine="0"/>
    </w:pPr>
    <w:rPr>
      <w:rFonts w:ascii="Arial" w:hAnsi="Arial"/>
      <w:color w:val="000000"/>
      <w:szCs w:val="16"/>
    </w:rPr>
  </w:style>
  <w:style w:type="paragraph" w:customStyle="1" w:styleId="ChartGraphic">
    <w:name w:val="Chart Graphic"/>
    <w:basedOn w:val="Normal"/>
    <w:next w:val="Normal"/>
    <w:rsid w:val="00157DC2"/>
    <w:pPr>
      <w:keepNext/>
      <w:spacing w:after="0" w:line="240" w:lineRule="auto"/>
      <w:jc w:val="center"/>
    </w:pPr>
    <w:rPr>
      <w:color w:val="636363" w:themeColor="accent2"/>
    </w:rPr>
  </w:style>
  <w:style w:type="paragraph" w:customStyle="1" w:styleId="ChartMainHeading">
    <w:name w:val="Chart Main Heading"/>
    <w:basedOn w:val="Caption"/>
    <w:next w:val="ChartGraphic"/>
    <w:rsid w:val="00157DC2"/>
    <w:pPr>
      <w:keepNext/>
      <w:spacing w:before="120" w:after="60"/>
      <w:jc w:val="center"/>
    </w:pPr>
    <w:rPr>
      <w:sz w:val="20"/>
      <w:szCs w:val="20"/>
    </w:rPr>
  </w:style>
  <w:style w:type="paragraph" w:customStyle="1" w:styleId="ChartorTableNote">
    <w:name w:val="Chart or Table Note"/>
    <w:next w:val="Normal"/>
    <w:rsid w:val="00D44D1F"/>
    <w:pPr>
      <w:jc w:val="both"/>
    </w:pPr>
    <w:rPr>
      <w:rFonts w:asciiTheme="minorHAnsi" w:hAnsiTheme="minorHAnsi"/>
      <w:color w:val="000000"/>
    </w:rPr>
  </w:style>
  <w:style w:type="paragraph" w:customStyle="1" w:styleId="ChartSecondHeading">
    <w:name w:val="Chart Second Heading"/>
    <w:basedOn w:val="HeadingBase"/>
    <w:next w:val="ChartGraphic"/>
    <w:rsid w:val="00A16C23"/>
    <w:pPr>
      <w:spacing w:after="20"/>
      <w:jc w:val="center"/>
    </w:pPr>
  </w:style>
  <w:style w:type="paragraph" w:customStyle="1" w:styleId="Classification">
    <w:name w:val="Classification"/>
    <w:basedOn w:val="HeadingBase"/>
    <w:next w:val="Footer"/>
    <w:semiHidden/>
    <w:rsid w:val="00A16C23"/>
    <w:pPr>
      <w:spacing w:after="120"/>
      <w:jc w:val="center"/>
    </w:pPr>
    <w:rPr>
      <w:b/>
      <w:smallCaps/>
    </w:rPr>
  </w:style>
  <w:style w:type="paragraph" w:styleId="Footer">
    <w:name w:val="footer"/>
    <w:basedOn w:val="Normal"/>
    <w:link w:val="FooterChar"/>
    <w:uiPriority w:val="99"/>
    <w:unhideWhenUsed/>
    <w:rsid w:val="00157DC2"/>
    <w:pPr>
      <w:tabs>
        <w:tab w:val="center" w:pos="4513"/>
        <w:tab w:val="right" w:pos="9026"/>
      </w:tabs>
      <w:spacing w:after="0" w:line="240" w:lineRule="auto"/>
    </w:pPr>
    <w:rPr>
      <w:color w:val="31A7D4" w:themeColor="accent1"/>
      <w:sz w:val="28"/>
    </w:rPr>
  </w:style>
  <w:style w:type="paragraph" w:customStyle="1" w:styleId="ContentsHeading">
    <w:name w:val="Contents Heading"/>
    <w:basedOn w:val="HeadingBase"/>
    <w:next w:val="Normal"/>
    <w:uiPriority w:val="2"/>
    <w:rsid w:val="00103EE9"/>
    <w:pPr>
      <w:spacing w:after="360"/>
      <w:jc w:val="center"/>
    </w:pPr>
    <w:rPr>
      <w:smallCaps/>
      <w:sz w:val="40"/>
      <w:szCs w:val="36"/>
    </w:rPr>
  </w:style>
  <w:style w:type="paragraph" w:customStyle="1" w:styleId="CoverTitleMain">
    <w:name w:val="Cover Title Main"/>
    <w:basedOn w:val="HeadingBase"/>
    <w:next w:val="Normal"/>
    <w:uiPriority w:val="2"/>
    <w:rsid w:val="00424549"/>
    <w:pPr>
      <w:spacing w:before="720" w:after="480"/>
    </w:pPr>
    <w:rPr>
      <w:b/>
      <w:caps/>
      <w:sz w:val="48"/>
    </w:rPr>
  </w:style>
  <w:style w:type="paragraph" w:customStyle="1" w:styleId="CoverTitleSub">
    <w:name w:val="Cover Title Sub"/>
    <w:basedOn w:val="HeadingBase"/>
    <w:uiPriority w:val="2"/>
    <w:rsid w:val="00634574"/>
    <w:pPr>
      <w:pBdr>
        <w:top w:val="single" w:sz="4" w:space="1" w:color="009976"/>
      </w:pBdr>
      <w:spacing w:after="360"/>
      <w:jc w:val="right"/>
    </w:pPr>
    <w:rPr>
      <w:sz w:val="36"/>
    </w:rPr>
  </w:style>
  <w:style w:type="paragraph" w:customStyle="1" w:styleId="FooterCentered">
    <w:name w:val="Footer Centered"/>
    <w:basedOn w:val="Footer"/>
    <w:unhideWhenUsed/>
    <w:rsid w:val="00A16C23"/>
    <w:pPr>
      <w:jc w:val="center"/>
    </w:pPr>
  </w:style>
  <w:style w:type="paragraph" w:customStyle="1" w:styleId="FooterEven">
    <w:name w:val="Footer Even"/>
    <w:basedOn w:val="Footer"/>
    <w:unhideWhenUsed/>
    <w:rsid w:val="00605433"/>
    <w:rPr>
      <w:sz w:val="32"/>
      <w:szCs w:val="32"/>
    </w:rPr>
  </w:style>
  <w:style w:type="paragraph" w:customStyle="1" w:styleId="FooterOdd">
    <w:name w:val="Footer Odd"/>
    <w:basedOn w:val="Footer"/>
    <w:unhideWhenUsed/>
    <w:rsid w:val="00605433"/>
  </w:style>
  <w:style w:type="character" w:customStyle="1" w:styleId="FramedFooter">
    <w:name w:val="Framed Footer"/>
    <w:semiHidden/>
    <w:rsid w:val="00634574"/>
    <w:rPr>
      <w:rFonts w:ascii="Arial" w:hAnsi="Arial"/>
      <w:color w:val="31A7D4" w:themeColor="accent1"/>
      <w:sz w:val="18"/>
    </w:rPr>
  </w:style>
  <w:style w:type="character" w:customStyle="1" w:styleId="FramedHeader">
    <w:name w:val="Framed Header"/>
    <w:basedOn w:val="DefaultParagraphFont"/>
    <w:semiHidden/>
    <w:rsid w:val="00634574"/>
    <w:rPr>
      <w:rFonts w:ascii="Arial" w:hAnsi="Arial"/>
      <w:dstrike w:val="0"/>
      <w:color w:val="31A7D4" w:themeColor="accent1"/>
      <w:sz w:val="18"/>
      <w:vertAlign w:val="baseline"/>
    </w:rPr>
  </w:style>
  <w:style w:type="paragraph" w:styleId="Header">
    <w:name w:val="header"/>
    <w:basedOn w:val="Normal"/>
    <w:link w:val="HeaderChar"/>
    <w:uiPriority w:val="99"/>
    <w:unhideWhenUsed/>
    <w:rsid w:val="00157DC2"/>
    <w:pPr>
      <w:tabs>
        <w:tab w:val="center" w:pos="4513"/>
        <w:tab w:val="right" w:pos="9026"/>
      </w:tabs>
      <w:spacing w:after="0" w:line="240" w:lineRule="auto"/>
      <w:jc w:val="right"/>
    </w:pPr>
    <w:rPr>
      <w:color w:val="636363" w:themeColor="accent2"/>
    </w:rPr>
  </w:style>
  <w:style w:type="paragraph" w:customStyle="1" w:styleId="HeaderEven">
    <w:name w:val="Header Even"/>
    <w:basedOn w:val="Header"/>
    <w:rsid w:val="007064F6"/>
    <w:pPr>
      <w:jc w:val="left"/>
    </w:pPr>
  </w:style>
  <w:style w:type="paragraph" w:customStyle="1" w:styleId="HeaderOdd">
    <w:name w:val="Header Odd"/>
    <w:basedOn w:val="Header"/>
    <w:link w:val="HeaderOddChar"/>
    <w:rsid w:val="00A16C23"/>
  </w:style>
  <w:style w:type="paragraph" w:styleId="NormalIndent">
    <w:name w:val="Normal Indent"/>
    <w:basedOn w:val="Normal"/>
    <w:semiHidden/>
    <w:rsid w:val="00B2418A"/>
    <w:pPr>
      <w:ind w:left="567"/>
    </w:pPr>
    <w:rPr>
      <w:i/>
    </w:rPr>
  </w:style>
  <w:style w:type="paragraph" w:customStyle="1" w:styleId="RecommendationHeading">
    <w:name w:val="Recommendation Heading"/>
    <w:basedOn w:val="HeadingBase"/>
    <w:next w:val="RecommendationText"/>
    <w:qFormat/>
    <w:rsid w:val="0052543A"/>
    <w:pPr>
      <w:spacing w:before="120" w:after="120"/>
    </w:pPr>
    <w:rPr>
      <w:b/>
      <w:sz w:val="24"/>
    </w:rPr>
  </w:style>
  <w:style w:type="paragraph" w:customStyle="1" w:styleId="RecommendationTextBase">
    <w:name w:val="Recommendation Text Base"/>
    <w:basedOn w:val="Normal"/>
    <w:rsid w:val="0045339B"/>
    <w:pPr>
      <w:spacing w:after="120"/>
    </w:pPr>
  </w:style>
  <w:style w:type="paragraph" w:customStyle="1" w:styleId="RecommendationText">
    <w:name w:val="Recommendation Text"/>
    <w:basedOn w:val="RecommendationTextBase"/>
    <w:qFormat/>
    <w:rsid w:val="00A16C23"/>
  </w:style>
  <w:style w:type="paragraph" w:customStyle="1" w:styleId="TableTextBase">
    <w:name w:val="Table Text Base"/>
    <w:uiPriority w:val="1"/>
    <w:unhideWhenUsed/>
    <w:rsid w:val="00D3750D"/>
    <w:pPr>
      <w:spacing w:before="40" w:after="40"/>
    </w:pPr>
    <w:rPr>
      <w:rFonts w:asciiTheme="minorHAnsi" w:hAnsiTheme="minorHAnsi"/>
      <w:color w:val="000000"/>
      <w:sz w:val="16"/>
    </w:rPr>
  </w:style>
  <w:style w:type="paragraph" w:customStyle="1" w:styleId="TableColumnHeadingCentred">
    <w:name w:val="Table Column Heading Centred"/>
    <w:basedOn w:val="TableColumnHeadingBase"/>
    <w:uiPriority w:val="1"/>
    <w:unhideWhenUsed/>
    <w:rsid w:val="00EB2A00"/>
    <w:pPr>
      <w:jc w:val="center"/>
    </w:pPr>
  </w:style>
  <w:style w:type="paragraph" w:customStyle="1" w:styleId="TableColumnHeadingLeft">
    <w:name w:val="Table Column Heading Left"/>
    <w:basedOn w:val="TableColumnHeadingBase"/>
    <w:uiPriority w:val="1"/>
    <w:unhideWhenUsed/>
    <w:rsid w:val="00EB2A00"/>
  </w:style>
  <w:style w:type="paragraph" w:customStyle="1" w:styleId="TableColumnHeadingRight">
    <w:name w:val="Table Column Heading Right"/>
    <w:basedOn w:val="TableColumnHeadingBase"/>
    <w:uiPriority w:val="1"/>
    <w:unhideWhenUsed/>
    <w:rsid w:val="00EB2A00"/>
    <w:pPr>
      <w:jc w:val="right"/>
    </w:pPr>
  </w:style>
  <w:style w:type="paragraph" w:customStyle="1" w:styleId="TableGraphic">
    <w:name w:val="Table Graphic"/>
    <w:basedOn w:val="Normal"/>
    <w:next w:val="Normal"/>
    <w:rsid w:val="00157DC2"/>
    <w:pPr>
      <w:keepNext/>
      <w:spacing w:after="0" w:line="240" w:lineRule="auto"/>
    </w:pPr>
    <w:rPr>
      <w:color w:val="636363" w:themeColor="accent2"/>
    </w:rPr>
  </w:style>
  <w:style w:type="paragraph" w:customStyle="1" w:styleId="TableMainHeading">
    <w:name w:val="Table Main Heading"/>
    <w:basedOn w:val="Normal"/>
    <w:next w:val="Normal"/>
    <w:uiPriority w:val="1"/>
    <w:rsid w:val="00157DC2"/>
    <w:pPr>
      <w:keepNext/>
      <w:spacing w:before="120" w:after="60"/>
    </w:pPr>
    <w:rPr>
      <w:b/>
      <w:color w:val="31A7D4" w:themeColor="accent1"/>
    </w:rPr>
  </w:style>
  <w:style w:type="paragraph" w:customStyle="1" w:styleId="TableMainHeadingContd">
    <w:name w:val="Table Main Heading Contd"/>
    <w:basedOn w:val="HeadingBase"/>
    <w:next w:val="TableGraphic"/>
    <w:uiPriority w:val="1"/>
    <w:unhideWhenUsed/>
    <w:rsid w:val="00EB2A00"/>
    <w:pPr>
      <w:pageBreakBefore/>
      <w:spacing w:after="20"/>
    </w:pPr>
    <w:rPr>
      <w:b/>
      <w:sz w:val="22"/>
    </w:rPr>
  </w:style>
  <w:style w:type="paragraph" w:customStyle="1" w:styleId="TableSecondHeading">
    <w:name w:val="Table Second Heading"/>
    <w:basedOn w:val="HeadingBase"/>
    <w:next w:val="TableGraphic"/>
    <w:uiPriority w:val="1"/>
    <w:unhideWhenUsed/>
    <w:rsid w:val="00A16C23"/>
    <w:pPr>
      <w:spacing w:after="20"/>
    </w:pPr>
  </w:style>
  <w:style w:type="paragraph" w:customStyle="1" w:styleId="TableTextCentered">
    <w:name w:val="Table Text Centered"/>
    <w:basedOn w:val="TableTextBase"/>
    <w:uiPriority w:val="1"/>
    <w:unhideWhenUsed/>
    <w:rsid w:val="00A16C23"/>
    <w:pPr>
      <w:jc w:val="center"/>
    </w:pPr>
  </w:style>
  <w:style w:type="paragraph" w:customStyle="1" w:styleId="TableTextIndented">
    <w:name w:val="Table Text Indented"/>
    <w:basedOn w:val="TableTextBase"/>
    <w:uiPriority w:val="1"/>
    <w:unhideWhenUsed/>
    <w:rsid w:val="00A16C23"/>
    <w:pPr>
      <w:ind w:left="284"/>
    </w:pPr>
  </w:style>
  <w:style w:type="paragraph" w:customStyle="1" w:styleId="TableTextLeft">
    <w:name w:val="Table Text Left"/>
    <w:basedOn w:val="Normal"/>
    <w:rsid w:val="00157DC2"/>
    <w:pPr>
      <w:spacing w:before="60" w:after="60"/>
    </w:pPr>
  </w:style>
  <w:style w:type="paragraph" w:customStyle="1" w:styleId="TableTextRight">
    <w:name w:val="Table Text Right"/>
    <w:basedOn w:val="TableTextBase"/>
    <w:uiPriority w:val="1"/>
    <w:unhideWhenUsed/>
    <w:rsid w:val="00A16C23"/>
    <w:pPr>
      <w:jc w:val="right"/>
    </w:pPr>
  </w:style>
  <w:style w:type="paragraph" w:styleId="TOC1">
    <w:name w:val="toc 1"/>
    <w:basedOn w:val="HeadingBase"/>
    <w:next w:val="Normal"/>
    <w:uiPriority w:val="39"/>
    <w:rsid w:val="0030206D"/>
    <w:pPr>
      <w:tabs>
        <w:tab w:val="left" w:pos="567"/>
        <w:tab w:val="right" w:leader="dot" w:pos="9072"/>
      </w:tabs>
      <w:spacing w:before="180" w:after="60"/>
      <w:ind w:left="567" w:right="851" w:hanging="567"/>
    </w:pPr>
    <w:rPr>
      <w:caps/>
      <w:sz w:val="24"/>
      <w:szCs w:val="22"/>
    </w:rPr>
  </w:style>
  <w:style w:type="paragraph" w:styleId="TOC2">
    <w:name w:val="toc 2"/>
    <w:basedOn w:val="Bullet"/>
    <w:next w:val="Normal"/>
    <w:uiPriority w:val="39"/>
    <w:rsid w:val="00D44D1F"/>
    <w:pPr>
      <w:tabs>
        <w:tab w:val="clear" w:pos="566"/>
        <w:tab w:val="num" w:pos="993"/>
      </w:tabs>
      <w:spacing w:before="60" w:after="60" w:line="260" w:lineRule="exact"/>
      <w:ind w:left="993" w:hanging="425"/>
      <w:jc w:val="both"/>
    </w:pPr>
    <w:rPr>
      <w:noProof/>
      <w:color w:val="31A7D4" w:themeColor="accent1"/>
    </w:rPr>
  </w:style>
  <w:style w:type="paragraph" w:styleId="TOC3">
    <w:name w:val="toc 3"/>
    <w:basedOn w:val="Dash"/>
    <w:next w:val="Normal"/>
    <w:uiPriority w:val="39"/>
    <w:unhideWhenUsed/>
    <w:rsid w:val="00D44D1F"/>
    <w:pPr>
      <w:spacing w:before="40" w:after="40" w:line="260" w:lineRule="exact"/>
      <w:ind w:left="1276"/>
      <w:jc w:val="both"/>
    </w:pPr>
    <w:rPr>
      <w:noProof/>
      <w:color w:val="31A7D4" w:themeColor="accent1"/>
    </w:rPr>
  </w:style>
  <w:style w:type="paragraph" w:styleId="TOC4">
    <w:name w:val="toc 4"/>
    <w:basedOn w:val="Normal"/>
    <w:next w:val="Normal"/>
    <w:uiPriority w:val="39"/>
    <w:unhideWhenUsed/>
    <w:rsid w:val="00A16C23"/>
    <w:pPr>
      <w:tabs>
        <w:tab w:val="right" w:leader="dot" w:pos="9072"/>
      </w:tabs>
      <w:spacing w:after="0"/>
      <w:ind w:left="284" w:right="851"/>
    </w:pPr>
  </w:style>
  <w:style w:type="character" w:customStyle="1" w:styleId="italic">
    <w:name w:val="italic"/>
    <w:basedOn w:val="DefaultParagraphFont"/>
    <w:unhideWhenUsed/>
    <w:rsid w:val="00A16C23"/>
    <w:rPr>
      <w:i/>
    </w:rPr>
  </w:style>
  <w:style w:type="paragraph" w:customStyle="1" w:styleId="OneLevelNumberedParagraph">
    <w:name w:val="One Level Numbered Paragraph"/>
    <w:basedOn w:val="Normal"/>
    <w:semiHidden/>
    <w:rsid w:val="00A16C23"/>
    <w:pPr>
      <w:numPr>
        <w:numId w:val="5"/>
      </w:numPr>
    </w:pPr>
  </w:style>
  <w:style w:type="paragraph" w:customStyle="1" w:styleId="BoxText">
    <w:name w:val="Box Text"/>
    <w:basedOn w:val="BoxTextBase"/>
    <w:unhideWhenUsed/>
    <w:rsid w:val="00157DC2"/>
    <w:pPr>
      <w:shd w:val="clear" w:color="auto" w:fill="auto"/>
      <w:spacing w:after="120"/>
    </w:pPr>
  </w:style>
  <w:style w:type="paragraph" w:customStyle="1" w:styleId="BoxBullet">
    <w:name w:val="Box Bullet"/>
    <w:basedOn w:val="BoxTextBase"/>
    <w:unhideWhenUsed/>
    <w:rsid w:val="009D0589"/>
    <w:pPr>
      <w:numPr>
        <w:numId w:val="4"/>
      </w:numPr>
      <w:shd w:val="clear" w:color="auto" w:fill="auto"/>
      <w:tabs>
        <w:tab w:val="clear" w:pos="566"/>
        <w:tab w:val="num" w:pos="426"/>
      </w:tabs>
      <w:spacing w:after="120"/>
      <w:ind w:left="426" w:hanging="426"/>
    </w:pPr>
    <w:rPr>
      <w:rFonts w:cstheme="minorBidi"/>
      <w:szCs w:val="22"/>
      <w:lang w:eastAsia="en-US"/>
    </w:rPr>
  </w:style>
  <w:style w:type="paragraph" w:customStyle="1" w:styleId="BoxDash">
    <w:name w:val="Box Dash"/>
    <w:basedOn w:val="BoxTextBase"/>
    <w:unhideWhenUsed/>
    <w:rsid w:val="00157DC2"/>
    <w:pPr>
      <w:numPr>
        <w:ilvl w:val="1"/>
        <w:numId w:val="4"/>
      </w:numPr>
      <w:shd w:val="clear" w:color="auto" w:fill="auto"/>
      <w:tabs>
        <w:tab w:val="clear" w:pos="1134"/>
        <w:tab w:val="num" w:pos="993"/>
      </w:tabs>
      <w:spacing w:after="120"/>
      <w:ind w:left="993" w:hanging="427"/>
    </w:pPr>
  </w:style>
  <w:style w:type="paragraph" w:customStyle="1" w:styleId="BoxDoubleDot">
    <w:name w:val="Box Double Dot"/>
    <w:basedOn w:val="BoxTextBase"/>
    <w:unhideWhenUsed/>
    <w:rsid w:val="00157DC2"/>
    <w:pPr>
      <w:numPr>
        <w:ilvl w:val="2"/>
        <w:numId w:val="4"/>
      </w:numPr>
      <w:shd w:val="clear" w:color="auto" w:fill="auto"/>
      <w:tabs>
        <w:tab w:val="clear" w:pos="1700"/>
        <w:tab w:val="num" w:pos="1276"/>
      </w:tabs>
      <w:spacing w:after="120"/>
      <w:ind w:left="1276" w:hanging="283"/>
    </w:pPr>
  </w:style>
  <w:style w:type="paragraph" w:customStyle="1" w:styleId="RecommendationBullet">
    <w:name w:val="Recommendation Bullet"/>
    <w:basedOn w:val="RecommendationTextBase"/>
    <w:rsid w:val="00A16C23"/>
    <w:pPr>
      <w:numPr>
        <w:numId w:val="6"/>
      </w:numPr>
    </w:pPr>
  </w:style>
  <w:style w:type="paragraph" w:customStyle="1" w:styleId="RecommendationDash">
    <w:name w:val="Recommendation Dash"/>
    <w:basedOn w:val="RecommendationTextBase"/>
    <w:rsid w:val="00A16C23"/>
    <w:pPr>
      <w:numPr>
        <w:ilvl w:val="1"/>
        <w:numId w:val="6"/>
      </w:numPr>
    </w:pPr>
  </w:style>
  <w:style w:type="paragraph" w:customStyle="1" w:styleId="RecommendationDoubleDot">
    <w:name w:val="Recommendation Double Dot"/>
    <w:basedOn w:val="RecommendationTextBase"/>
    <w:rsid w:val="00A16C23"/>
    <w:pPr>
      <w:numPr>
        <w:ilvl w:val="2"/>
        <w:numId w:val="6"/>
      </w:numPr>
    </w:pPr>
  </w:style>
  <w:style w:type="character" w:styleId="FollowedHyperlink">
    <w:name w:val="FollowedHyperlink"/>
    <w:basedOn w:val="DefaultParagraphFont"/>
    <w:unhideWhenUsed/>
    <w:rsid w:val="00A16C23"/>
    <w:rPr>
      <w:color w:val="auto"/>
      <w:u w:val="none"/>
    </w:rPr>
  </w:style>
  <w:style w:type="paragraph" w:customStyle="1" w:styleId="Heading1NotNumbered">
    <w:name w:val="Heading 1 Not Numbered"/>
    <w:basedOn w:val="HeadingBase"/>
    <w:next w:val="Normal"/>
    <w:rsid w:val="00763B40"/>
    <w:pPr>
      <w:spacing w:before="720" w:after="360"/>
    </w:pPr>
    <w:rPr>
      <w:smallCaps/>
      <w:sz w:val="40"/>
      <w:szCs w:val="36"/>
    </w:rPr>
  </w:style>
  <w:style w:type="paragraph" w:customStyle="1" w:styleId="Heading2NotNumbered">
    <w:name w:val="Heading 2 Not Numbered"/>
    <w:basedOn w:val="HeadingBase"/>
    <w:next w:val="Normal"/>
    <w:rsid w:val="002F377B"/>
    <w:pPr>
      <w:spacing w:before="360" w:after="180"/>
    </w:pPr>
    <w:rPr>
      <w:smallCaps/>
      <w:sz w:val="32"/>
      <w:szCs w:val="28"/>
    </w:rPr>
  </w:style>
  <w:style w:type="paragraph" w:customStyle="1" w:styleId="Heading3NotNumbered">
    <w:name w:val="Heading 3 Not Numbered"/>
    <w:basedOn w:val="HeadingBase"/>
    <w:next w:val="Normal"/>
    <w:rsid w:val="0033013B"/>
    <w:pPr>
      <w:spacing w:before="240" w:after="120"/>
    </w:pPr>
    <w:rPr>
      <w:sz w:val="28"/>
      <w:szCs w:val="26"/>
    </w:rPr>
  </w:style>
  <w:style w:type="paragraph" w:customStyle="1" w:styleId="Heading4NotNumbered">
    <w:name w:val="Heading 4 Not Numbered"/>
    <w:basedOn w:val="HeadingBase"/>
    <w:unhideWhenUsed/>
    <w:rsid w:val="00D44D1F"/>
    <w:pPr>
      <w:spacing w:before="120" w:after="120"/>
      <w:outlineLvl w:val="3"/>
    </w:pPr>
    <w:rPr>
      <w:i/>
      <w:sz w:val="26"/>
    </w:rPr>
  </w:style>
  <w:style w:type="paragraph" w:styleId="BalloonText">
    <w:name w:val="Balloon Text"/>
    <w:basedOn w:val="Normal"/>
    <w:link w:val="BalloonTextChar"/>
    <w:uiPriority w:val="99"/>
    <w:semiHidden/>
    <w:unhideWhenUsed/>
    <w:rsid w:val="00157DC2"/>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157DC2"/>
    <w:pPr>
      <w:spacing w:after="200" w:line="240" w:lineRule="auto"/>
    </w:pPr>
    <w:rPr>
      <w:b/>
      <w:bCs/>
      <w:color w:val="31A7D4" w:themeColor="accent1"/>
      <w:sz w:val="18"/>
      <w:szCs w:val="18"/>
    </w:rPr>
  </w:style>
  <w:style w:type="character" w:styleId="CommentReference">
    <w:name w:val="annotation reference"/>
    <w:basedOn w:val="DefaultParagraphFont"/>
    <w:semiHidden/>
    <w:rsid w:val="005E76C1"/>
    <w:rPr>
      <w:sz w:val="16"/>
      <w:szCs w:val="16"/>
    </w:rPr>
  </w:style>
  <w:style w:type="paragraph" w:styleId="CommentText">
    <w:name w:val="annotation text"/>
    <w:basedOn w:val="Normal"/>
    <w:link w:val="CommentTextChar"/>
    <w:semiHidden/>
    <w:rsid w:val="005E76C1"/>
  </w:style>
  <w:style w:type="paragraph" w:styleId="CommentSubject">
    <w:name w:val="annotation subject"/>
    <w:basedOn w:val="CommentText"/>
    <w:next w:val="CommentText"/>
    <w:semiHidden/>
    <w:rsid w:val="005E76C1"/>
    <w:rPr>
      <w:b/>
      <w:bCs/>
    </w:rPr>
  </w:style>
  <w:style w:type="paragraph" w:styleId="DocumentMap">
    <w:name w:val="Document Map"/>
    <w:basedOn w:val="Normal"/>
    <w:semiHidden/>
    <w:rsid w:val="005E76C1"/>
    <w:pPr>
      <w:shd w:val="clear" w:color="auto" w:fill="000080"/>
    </w:pPr>
    <w:rPr>
      <w:rFonts w:ascii="Tahoma" w:hAnsi="Tahoma" w:cs="Tahoma"/>
    </w:rPr>
  </w:style>
  <w:style w:type="character" w:styleId="EndnoteReference">
    <w:name w:val="endnote reference"/>
    <w:basedOn w:val="DefaultParagraphFont"/>
    <w:semiHidden/>
    <w:rsid w:val="005E76C1"/>
    <w:rPr>
      <w:vertAlign w:val="superscript"/>
    </w:rPr>
  </w:style>
  <w:style w:type="paragraph" w:styleId="EndnoteText">
    <w:name w:val="endnote text"/>
    <w:basedOn w:val="Normal"/>
    <w:semiHidden/>
    <w:rsid w:val="005E76C1"/>
  </w:style>
  <w:style w:type="character" w:styleId="FootnoteReference">
    <w:name w:val="footnote reference"/>
    <w:basedOn w:val="DefaultParagraphFont"/>
    <w:uiPriority w:val="99"/>
    <w:unhideWhenUsed/>
    <w:rsid w:val="00157DC2"/>
    <w:rPr>
      <w:vertAlign w:val="superscript"/>
    </w:rPr>
  </w:style>
  <w:style w:type="paragraph" w:styleId="Index1">
    <w:name w:val="index 1"/>
    <w:basedOn w:val="Normal"/>
    <w:next w:val="Normal"/>
    <w:autoRedefine/>
    <w:semiHidden/>
    <w:rsid w:val="005E76C1"/>
    <w:pPr>
      <w:ind w:left="200" w:hanging="200"/>
    </w:pPr>
  </w:style>
  <w:style w:type="paragraph" w:styleId="Index2">
    <w:name w:val="index 2"/>
    <w:basedOn w:val="Normal"/>
    <w:next w:val="Normal"/>
    <w:autoRedefine/>
    <w:semiHidden/>
    <w:rsid w:val="005E76C1"/>
    <w:pPr>
      <w:ind w:left="400" w:hanging="200"/>
    </w:pPr>
  </w:style>
  <w:style w:type="paragraph" w:styleId="Index3">
    <w:name w:val="index 3"/>
    <w:basedOn w:val="Normal"/>
    <w:next w:val="Normal"/>
    <w:autoRedefine/>
    <w:semiHidden/>
    <w:rsid w:val="005E76C1"/>
    <w:pPr>
      <w:ind w:left="600" w:hanging="200"/>
    </w:pPr>
  </w:style>
  <w:style w:type="paragraph" w:styleId="Index4">
    <w:name w:val="index 4"/>
    <w:basedOn w:val="Normal"/>
    <w:next w:val="Normal"/>
    <w:autoRedefine/>
    <w:semiHidden/>
    <w:rsid w:val="005E76C1"/>
    <w:pPr>
      <w:ind w:left="800" w:hanging="200"/>
    </w:pPr>
  </w:style>
  <w:style w:type="paragraph" w:styleId="Index5">
    <w:name w:val="index 5"/>
    <w:basedOn w:val="Normal"/>
    <w:next w:val="Normal"/>
    <w:autoRedefine/>
    <w:semiHidden/>
    <w:rsid w:val="005E76C1"/>
    <w:pPr>
      <w:ind w:left="1000" w:hanging="200"/>
    </w:pPr>
  </w:style>
  <w:style w:type="paragraph" w:styleId="Index6">
    <w:name w:val="index 6"/>
    <w:basedOn w:val="Normal"/>
    <w:next w:val="Normal"/>
    <w:autoRedefine/>
    <w:semiHidden/>
    <w:rsid w:val="005E76C1"/>
    <w:pPr>
      <w:ind w:left="1200" w:hanging="200"/>
    </w:pPr>
  </w:style>
  <w:style w:type="paragraph" w:styleId="Index7">
    <w:name w:val="index 7"/>
    <w:basedOn w:val="Normal"/>
    <w:next w:val="Normal"/>
    <w:autoRedefine/>
    <w:semiHidden/>
    <w:rsid w:val="005E76C1"/>
    <w:pPr>
      <w:ind w:left="1400" w:hanging="200"/>
    </w:pPr>
  </w:style>
  <w:style w:type="paragraph" w:styleId="Index8">
    <w:name w:val="index 8"/>
    <w:basedOn w:val="Normal"/>
    <w:next w:val="Normal"/>
    <w:autoRedefine/>
    <w:semiHidden/>
    <w:rsid w:val="005E76C1"/>
    <w:pPr>
      <w:ind w:left="1600" w:hanging="200"/>
    </w:pPr>
  </w:style>
  <w:style w:type="paragraph" w:styleId="Index9">
    <w:name w:val="index 9"/>
    <w:basedOn w:val="Normal"/>
    <w:next w:val="Normal"/>
    <w:autoRedefine/>
    <w:semiHidden/>
    <w:rsid w:val="005E76C1"/>
    <w:pPr>
      <w:ind w:left="1800" w:hanging="200"/>
    </w:pPr>
  </w:style>
  <w:style w:type="paragraph" w:styleId="IndexHeading">
    <w:name w:val="index heading"/>
    <w:basedOn w:val="Normal"/>
    <w:next w:val="Index1"/>
    <w:semiHidden/>
    <w:rsid w:val="005E76C1"/>
    <w:rPr>
      <w:rFonts w:cs="Arial"/>
      <w:b/>
      <w:bCs/>
    </w:rPr>
  </w:style>
  <w:style w:type="paragraph" w:styleId="MacroText">
    <w:name w:val="macro"/>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paragraph" w:styleId="TableofAuthorities">
    <w:name w:val="table of authorities"/>
    <w:basedOn w:val="Normal"/>
    <w:next w:val="Normal"/>
    <w:semiHidden/>
    <w:rsid w:val="005E76C1"/>
    <w:pPr>
      <w:ind w:left="200" w:hanging="200"/>
    </w:pPr>
  </w:style>
  <w:style w:type="paragraph" w:styleId="TableofFigures">
    <w:name w:val="table of figures"/>
    <w:basedOn w:val="Normal"/>
    <w:next w:val="Normal"/>
    <w:semiHidden/>
    <w:rsid w:val="005E76C1"/>
  </w:style>
  <w:style w:type="paragraph" w:styleId="TOAHeading">
    <w:name w:val="toa heading"/>
    <w:basedOn w:val="Normal"/>
    <w:next w:val="Normal"/>
    <w:semiHidden/>
    <w:rsid w:val="005E76C1"/>
    <w:rPr>
      <w:rFonts w:cs="Arial"/>
      <w:b/>
      <w:bCs/>
      <w:szCs w:val="24"/>
    </w:rPr>
  </w:style>
  <w:style w:type="paragraph" w:styleId="TOC5">
    <w:name w:val="toc 5"/>
    <w:basedOn w:val="Normal"/>
    <w:next w:val="Normal"/>
    <w:autoRedefine/>
    <w:semiHidden/>
    <w:rsid w:val="005E76C1"/>
    <w:pPr>
      <w:ind w:left="800"/>
    </w:pPr>
  </w:style>
  <w:style w:type="paragraph" w:styleId="TOC6">
    <w:name w:val="toc 6"/>
    <w:basedOn w:val="Normal"/>
    <w:next w:val="Normal"/>
    <w:autoRedefine/>
    <w:semiHidden/>
    <w:rsid w:val="005E76C1"/>
    <w:pPr>
      <w:ind w:left="1000"/>
    </w:pPr>
  </w:style>
  <w:style w:type="paragraph" w:styleId="TOC7">
    <w:name w:val="toc 7"/>
    <w:basedOn w:val="Normal"/>
    <w:next w:val="Normal"/>
    <w:autoRedefine/>
    <w:semiHidden/>
    <w:rsid w:val="005E76C1"/>
    <w:pPr>
      <w:ind w:left="1200"/>
    </w:pPr>
  </w:style>
  <w:style w:type="paragraph" w:styleId="TOC8">
    <w:name w:val="toc 8"/>
    <w:basedOn w:val="Normal"/>
    <w:next w:val="Normal"/>
    <w:autoRedefine/>
    <w:semiHidden/>
    <w:rsid w:val="005E76C1"/>
    <w:pPr>
      <w:ind w:left="1400"/>
    </w:pPr>
  </w:style>
  <w:style w:type="paragraph" w:styleId="TOC9">
    <w:name w:val="toc 9"/>
    <w:basedOn w:val="Normal"/>
    <w:next w:val="Normal"/>
    <w:autoRedefine/>
    <w:semiHidden/>
    <w:rsid w:val="005E76C1"/>
    <w:pPr>
      <w:ind w:left="1600"/>
    </w:pPr>
  </w:style>
  <w:style w:type="paragraph" w:customStyle="1" w:styleId="Heading5NotNumbered">
    <w:name w:val="Heading 5 Not Numbered"/>
    <w:basedOn w:val="HeadingBase"/>
    <w:unhideWhenUsed/>
    <w:rsid w:val="00D44D1F"/>
    <w:pPr>
      <w:spacing w:after="120"/>
      <w:outlineLvl w:val="4"/>
    </w:pPr>
    <w:rPr>
      <w:b/>
      <w:i/>
      <w:sz w:val="22"/>
    </w:rPr>
  </w:style>
  <w:style w:type="table" w:customStyle="1" w:styleId="OptionsTable">
    <w:name w:val="Options Table"/>
    <w:basedOn w:val="TableNormal"/>
    <w:rsid w:val="00981231"/>
    <w:tblPr>
      <w:tblStyleRowBandSize w:val="1"/>
      <w:tblBorders>
        <w:insideH w:val="single" w:sz="12" w:space="0" w:color="FFFFFF"/>
        <w:insideV w:val="single" w:sz="12" w:space="0" w:color="FFFFFF"/>
      </w:tblBorders>
    </w:tblPr>
    <w:tcPr>
      <w:shd w:val="clear" w:color="auto" w:fill="FFFFFF"/>
    </w:tcPr>
    <w:tblStylePr w:type="firstRow">
      <w:pPr>
        <w:wordWrap/>
        <w:spacing w:beforeLines="0" w:beforeAutospacing="0" w:afterLines="0" w:afterAutospacing="0" w:line="280" w:lineRule="exact"/>
        <w:contextualSpacing w:val="0"/>
      </w:pPr>
      <w:rPr>
        <w:rFonts w:ascii="Arial" w:hAnsi="Arial"/>
        <w:b/>
        <w:i w:val="0"/>
        <w:color w:val="342E82"/>
        <w:sz w:val="22"/>
      </w:rPr>
      <w:tblPr/>
      <w:tcPr>
        <w:shd w:val="clear" w:color="auto" w:fill="B3B3B3"/>
      </w:tcPr>
    </w:tblStylePr>
    <w:tblStylePr w:type="band1Horz">
      <w:pPr>
        <w:wordWrap/>
        <w:spacing w:beforeLines="0" w:beforeAutospacing="0" w:afterLines="0" w:afterAutospacing="0" w:line="280" w:lineRule="exact"/>
        <w:contextualSpacing w:val="0"/>
      </w:pPr>
      <w:rPr>
        <w:rFonts w:ascii="Arial" w:hAnsi="Arial"/>
        <w:sz w:val="22"/>
      </w:rPr>
      <w:tblPr/>
      <w:tcPr>
        <w:shd w:val="clear" w:color="auto" w:fill="E6E6E6"/>
      </w:tcPr>
    </w:tblStylePr>
    <w:tblStylePr w:type="band2Horz">
      <w:pPr>
        <w:wordWrap/>
        <w:spacing w:beforeLines="0" w:beforeAutospacing="0" w:afterLines="0" w:afterAutospacing="0" w:line="280" w:lineRule="exact"/>
        <w:contextualSpacing w:val="0"/>
      </w:pPr>
      <w:rPr>
        <w:rFonts w:ascii="Arial" w:hAnsi="Arial"/>
        <w:sz w:val="22"/>
      </w:rPr>
      <w:tblPr/>
      <w:tcPr>
        <w:shd w:val="clear" w:color="auto" w:fill="CCCCCC"/>
      </w:tcPr>
    </w:tblStylePr>
  </w:style>
  <w:style w:type="paragraph" w:customStyle="1" w:styleId="Romannumeral">
    <w:name w:val="Roman numeral"/>
    <w:basedOn w:val="Normal"/>
    <w:rsid w:val="002A2C88"/>
    <w:pPr>
      <w:numPr>
        <w:numId w:val="7"/>
      </w:numPr>
    </w:pPr>
  </w:style>
  <w:style w:type="paragraph" w:customStyle="1" w:styleId="OutlineNumbered4">
    <w:name w:val="Outline Numbered 4"/>
    <w:basedOn w:val="Normal"/>
    <w:rsid w:val="00C622C8"/>
    <w:pPr>
      <w:spacing w:line="280" w:lineRule="exact"/>
      <w:jc w:val="both"/>
    </w:pPr>
  </w:style>
  <w:style w:type="paragraph" w:customStyle="1" w:styleId="OutlineNumbered5">
    <w:name w:val="Outline Numbered 5"/>
    <w:basedOn w:val="Normal"/>
    <w:rsid w:val="00C622C8"/>
    <w:pPr>
      <w:numPr>
        <w:ilvl w:val="4"/>
        <w:numId w:val="9"/>
      </w:numPr>
      <w:spacing w:line="280" w:lineRule="exact"/>
      <w:jc w:val="both"/>
    </w:pPr>
  </w:style>
  <w:style w:type="paragraph" w:customStyle="1" w:styleId="Crest">
    <w:name w:val="Crest"/>
    <w:basedOn w:val="Header"/>
    <w:uiPriority w:val="2"/>
    <w:rsid w:val="00F23AEE"/>
    <w:pPr>
      <w:spacing w:after="480"/>
    </w:pPr>
  </w:style>
  <w:style w:type="character" w:customStyle="1" w:styleId="SingleParagraphChar">
    <w:name w:val="Single Paragraph Char"/>
    <w:basedOn w:val="DefaultParagraphFont"/>
    <w:link w:val="SingleParagraph"/>
    <w:rsid w:val="00FE674C"/>
    <w:rPr>
      <w:rFonts w:asciiTheme="minorHAnsi" w:hAnsiTheme="minorHAnsi"/>
      <w:color w:val="000000"/>
      <w:sz w:val="22"/>
    </w:rPr>
  </w:style>
  <w:style w:type="character" w:customStyle="1" w:styleId="Heading5Char">
    <w:name w:val="Heading 5 Char"/>
    <w:basedOn w:val="DefaultParagraphFont"/>
    <w:link w:val="Heading5"/>
    <w:rsid w:val="00157DC2"/>
    <w:rPr>
      <w:rFonts w:ascii="Arial" w:eastAsiaTheme="majorEastAsia" w:hAnsi="Arial" w:cstheme="majorBidi"/>
      <w:b/>
      <w:color w:val="31A7D4" w:themeColor="accent1"/>
      <w:sz w:val="22"/>
    </w:rPr>
  </w:style>
  <w:style w:type="character" w:customStyle="1" w:styleId="Heading4Char">
    <w:name w:val="Heading 4 Char"/>
    <w:basedOn w:val="DefaultParagraphFont"/>
    <w:link w:val="Heading4"/>
    <w:rsid w:val="00157DC2"/>
    <w:rPr>
      <w:rFonts w:ascii="Arial" w:eastAsiaTheme="majorEastAsia" w:hAnsi="Arial" w:cstheme="majorBidi"/>
      <w:b/>
      <w:bCs/>
      <w:iCs/>
      <w:color w:val="31A7D4" w:themeColor="accent1"/>
      <w:sz w:val="26"/>
    </w:rPr>
  </w:style>
  <w:style w:type="character" w:customStyle="1" w:styleId="A5">
    <w:name w:val="A5"/>
    <w:uiPriority w:val="99"/>
    <w:rsid w:val="00240AAC"/>
    <w:rPr>
      <w:rFonts w:cs="Swiss 721 BT"/>
      <w:color w:val="000000"/>
      <w:sz w:val="20"/>
      <w:szCs w:val="20"/>
    </w:rPr>
  </w:style>
  <w:style w:type="character" w:customStyle="1" w:styleId="FooterChar">
    <w:name w:val="Footer Char"/>
    <w:basedOn w:val="DefaultParagraphFont"/>
    <w:link w:val="Footer"/>
    <w:uiPriority w:val="99"/>
    <w:rsid w:val="00157DC2"/>
    <w:rPr>
      <w:rFonts w:ascii="Arial" w:hAnsi="Arial"/>
      <w:color w:val="31A7D4" w:themeColor="accent1"/>
      <w:sz w:val="28"/>
    </w:rPr>
  </w:style>
  <w:style w:type="paragraph" w:customStyle="1" w:styleId="SecurityClassificationFooter">
    <w:name w:val="Security Classification Footer"/>
    <w:link w:val="SecurityClassificationFooterChar"/>
    <w:rsid w:val="00F37E7D"/>
    <w:pPr>
      <w:spacing w:before="60" w:after="240" w:line="276" w:lineRule="auto"/>
      <w:jc w:val="center"/>
    </w:pPr>
    <w:rPr>
      <w:rFonts w:ascii="Arial" w:hAnsi="Arial"/>
      <w:b/>
      <w:caps/>
      <w:color w:val="31A7D4" w:themeColor="accent1"/>
      <w:sz w:val="24"/>
    </w:rPr>
  </w:style>
  <w:style w:type="character" w:customStyle="1" w:styleId="SecurityClassificationFooterChar">
    <w:name w:val="Security Classification Footer Char"/>
    <w:link w:val="SecurityClassificationFooter"/>
    <w:rsid w:val="00F37E7D"/>
    <w:rPr>
      <w:rFonts w:ascii="Arial" w:hAnsi="Arial"/>
      <w:b/>
      <w:caps/>
      <w:color w:val="31A7D4" w:themeColor="accent1"/>
      <w:sz w:val="24"/>
    </w:rPr>
  </w:style>
  <w:style w:type="paragraph" w:customStyle="1" w:styleId="MinuteNumber">
    <w:name w:val="Minute Number"/>
    <w:basedOn w:val="Header"/>
    <w:uiPriority w:val="2"/>
    <w:rsid w:val="00A61250"/>
    <w:pPr>
      <w:pBdr>
        <w:bottom w:val="double" w:sz="6" w:space="6" w:color="auto"/>
      </w:pBdr>
      <w:tabs>
        <w:tab w:val="right" w:pos="8222"/>
      </w:tabs>
      <w:spacing w:before="120" w:after="120"/>
    </w:pPr>
    <w:rPr>
      <w:rFonts w:ascii="Times New Roman" w:hAnsi="Times New Roman"/>
      <w:color w:val="auto"/>
      <w:kern w:val="16"/>
      <w:sz w:val="24"/>
      <w:szCs w:val="24"/>
    </w:rPr>
  </w:style>
  <w:style w:type="paragraph" w:customStyle="1" w:styleId="QABoxHeading">
    <w:name w:val="QA Box Heading"/>
    <w:basedOn w:val="BoxHeading"/>
    <w:unhideWhenUsed/>
    <w:rsid w:val="00D44D1F"/>
    <w:pPr>
      <w:spacing w:before="120"/>
    </w:pPr>
    <w:rPr>
      <w:b w:val="0"/>
      <w:sz w:val="24"/>
    </w:rPr>
  </w:style>
  <w:style w:type="paragraph" w:customStyle="1" w:styleId="QAText">
    <w:name w:val="QA Text"/>
    <w:basedOn w:val="Normal"/>
    <w:rsid w:val="00E22E94"/>
    <w:pPr>
      <w:spacing w:after="120"/>
    </w:pPr>
  </w:style>
  <w:style w:type="paragraph" w:customStyle="1" w:styleId="Copyrightheadings">
    <w:name w:val="Copyright headings"/>
    <w:basedOn w:val="HeadingBase"/>
    <w:uiPriority w:val="2"/>
    <w:rsid w:val="002D2743"/>
    <w:pPr>
      <w:spacing w:after="80"/>
    </w:pPr>
    <w:rPr>
      <w:b/>
      <w:color w:val="000000" w:themeColor="text1"/>
      <w:sz w:val="22"/>
    </w:rPr>
  </w:style>
  <w:style w:type="paragraph" w:customStyle="1" w:styleId="Quotes">
    <w:name w:val="Quotes"/>
    <w:basedOn w:val="Normal"/>
    <w:qFormat/>
    <w:rsid w:val="00E07793"/>
    <w:pPr>
      <w:spacing w:after="120"/>
      <w:ind w:left="567" w:right="423"/>
    </w:pPr>
    <w:rPr>
      <w:color w:val="595959" w:themeColor="text1" w:themeTint="A6"/>
    </w:rPr>
  </w:style>
  <w:style w:type="paragraph" w:customStyle="1" w:styleId="Keymessageheading">
    <w:name w:val="Key message heading"/>
    <w:basedOn w:val="RecommendationHeading"/>
    <w:uiPriority w:val="1"/>
    <w:qFormat/>
    <w:rsid w:val="009421D7"/>
  </w:style>
  <w:style w:type="paragraph" w:customStyle="1" w:styleId="Keyfindingtext">
    <w:name w:val="Key finding text"/>
    <w:basedOn w:val="BoxText"/>
    <w:uiPriority w:val="1"/>
    <w:qFormat/>
    <w:rsid w:val="00F37E7D"/>
    <w:pPr>
      <w:numPr>
        <w:numId w:val="16"/>
      </w:numPr>
      <w:spacing w:line="260" w:lineRule="exact"/>
      <w:ind w:left="357" w:hanging="357"/>
      <w:jc w:val="both"/>
    </w:pPr>
  </w:style>
  <w:style w:type="paragraph" w:customStyle="1" w:styleId="Casestudyboxheading">
    <w:name w:val="Case study box heading"/>
    <w:basedOn w:val="RecommendationHeading"/>
    <w:qFormat/>
    <w:rsid w:val="00944C23"/>
    <w:pPr>
      <w:numPr>
        <w:ilvl w:val="1"/>
        <w:numId w:val="14"/>
      </w:numPr>
    </w:pPr>
  </w:style>
  <w:style w:type="paragraph" w:customStyle="1" w:styleId="Casestudyboxtext">
    <w:name w:val="Case study box text"/>
    <w:basedOn w:val="BoxText"/>
    <w:qFormat/>
    <w:rsid w:val="0052543A"/>
  </w:style>
  <w:style w:type="paragraph" w:styleId="ListParagraph">
    <w:name w:val="List Paragraph"/>
    <w:basedOn w:val="Normal"/>
    <w:uiPriority w:val="34"/>
    <w:unhideWhenUsed/>
    <w:qFormat/>
    <w:rsid w:val="00157DC2"/>
    <w:pPr>
      <w:ind w:left="720"/>
      <w:contextualSpacing/>
    </w:pPr>
  </w:style>
  <w:style w:type="paragraph" w:customStyle="1" w:styleId="Copyrightheading">
    <w:name w:val="Copyright heading"/>
    <w:basedOn w:val="Normal"/>
    <w:rsid w:val="00424549"/>
    <w:pPr>
      <w:spacing w:before="200" w:after="120"/>
    </w:pPr>
    <w:rPr>
      <w:rFonts w:eastAsiaTheme="minorHAnsi" w:cstheme="minorBidi"/>
      <w:b/>
      <w:szCs w:val="22"/>
      <w:lang w:eastAsia="en-US"/>
    </w:rPr>
  </w:style>
  <w:style w:type="character" w:styleId="PageNumber">
    <w:name w:val="page number"/>
    <w:basedOn w:val="DefaultParagraphFont"/>
    <w:rsid w:val="00057308"/>
  </w:style>
  <w:style w:type="numbering" w:customStyle="1" w:styleId="BulletedList">
    <w:name w:val="Bulleted List"/>
    <w:uiPriority w:val="99"/>
    <w:rsid w:val="001F27A9"/>
    <w:pPr>
      <w:numPr>
        <w:numId w:val="11"/>
      </w:numPr>
    </w:pPr>
  </w:style>
  <w:style w:type="table" w:customStyle="1" w:styleId="TableGrid2">
    <w:name w:val="Table Grid2"/>
    <w:basedOn w:val="TableNormal"/>
    <w:next w:val="TableGrid"/>
    <w:uiPriority w:val="59"/>
    <w:rsid w:val="001F27A9"/>
    <w:pPr>
      <w:spacing w:after="240" w:line="260" w:lineRule="exact"/>
      <w:jc w:val="both"/>
    </w:pPr>
    <w:tblPr/>
    <w:tcPr>
      <w:shd w:val="clear" w:color="auto" w:fill="E6E6E6"/>
    </w:tcPr>
  </w:style>
  <w:style w:type="character" w:customStyle="1" w:styleId="FootnoteTextChar">
    <w:name w:val="Footnote Text Char"/>
    <w:basedOn w:val="DefaultParagraphFont"/>
    <w:link w:val="FootnoteText"/>
    <w:uiPriority w:val="99"/>
    <w:rsid w:val="00157DC2"/>
    <w:rPr>
      <w:rFonts w:ascii="Arial" w:hAnsi="Arial"/>
      <w:sz w:val="18"/>
    </w:rPr>
  </w:style>
  <w:style w:type="paragraph" w:customStyle="1" w:styleId="SecurityClassificationHeader">
    <w:name w:val="Security Classification Header"/>
    <w:link w:val="SecurityClassificationHeaderChar"/>
    <w:rsid w:val="00DA39CC"/>
    <w:pPr>
      <w:spacing w:before="60" w:after="240"/>
      <w:jc w:val="center"/>
    </w:pPr>
    <w:rPr>
      <w:rFonts w:ascii="Calibri" w:hAnsi="Calibri"/>
      <w:b/>
      <w:caps/>
      <w:color w:val="31A7D4" w:themeColor="accent1"/>
      <w:sz w:val="24"/>
    </w:rPr>
  </w:style>
  <w:style w:type="character" w:customStyle="1" w:styleId="HeadingBaseChar">
    <w:name w:val="Heading Base Char"/>
    <w:basedOn w:val="DefaultParagraphFont"/>
    <w:link w:val="HeadingBase"/>
    <w:rsid w:val="00DA39CC"/>
    <w:rPr>
      <w:rFonts w:ascii="Calibri" w:hAnsi="Calibri"/>
      <w:color w:val="31A7D4" w:themeColor="accent1"/>
    </w:rPr>
  </w:style>
  <w:style w:type="character" w:customStyle="1" w:styleId="HeaderChar">
    <w:name w:val="Header Char"/>
    <w:basedOn w:val="DefaultParagraphFont"/>
    <w:link w:val="Header"/>
    <w:uiPriority w:val="99"/>
    <w:rsid w:val="00157DC2"/>
    <w:rPr>
      <w:rFonts w:ascii="Arial" w:hAnsi="Arial"/>
      <w:color w:val="636363" w:themeColor="accent2"/>
      <w:sz w:val="22"/>
    </w:rPr>
  </w:style>
  <w:style w:type="character" w:customStyle="1" w:styleId="HeaderOddChar">
    <w:name w:val="Header Odd Char"/>
    <w:basedOn w:val="HeaderChar"/>
    <w:link w:val="HeaderOdd"/>
    <w:rsid w:val="00DA39CC"/>
    <w:rPr>
      <w:rFonts w:ascii="Calibri" w:hAnsi="Calibri"/>
      <w:color w:val="31A7D4" w:themeColor="accent1"/>
      <w:sz w:val="18"/>
    </w:rPr>
  </w:style>
  <w:style w:type="character" w:customStyle="1" w:styleId="SecurityClassificationHeaderChar">
    <w:name w:val="Security Classification Header Char"/>
    <w:basedOn w:val="HeaderOddChar"/>
    <w:link w:val="SecurityClassificationHeader"/>
    <w:rsid w:val="00DA39CC"/>
    <w:rPr>
      <w:rFonts w:ascii="Calibri" w:hAnsi="Calibri"/>
      <w:b/>
      <w:caps/>
      <w:color w:val="31A7D4" w:themeColor="accent1"/>
      <w:sz w:val="24"/>
    </w:rPr>
  </w:style>
  <w:style w:type="paragraph" w:customStyle="1" w:styleId="DLMSecurityHeader">
    <w:name w:val="DLM Security Header"/>
    <w:link w:val="DLMSecurityHeaderChar"/>
    <w:rsid w:val="00DA39CC"/>
    <w:pPr>
      <w:spacing w:before="60" w:after="240"/>
      <w:jc w:val="center"/>
    </w:pPr>
    <w:rPr>
      <w:rFonts w:ascii="Calibri" w:hAnsi="Calibri"/>
      <w:b/>
      <w:caps/>
      <w:color w:val="31A7D4" w:themeColor="accent1"/>
      <w:sz w:val="24"/>
    </w:rPr>
  </w:style>
  <w:style w:type="character" w:customStyle="1" w:styleId="DLMSecurityHeaderChar">
    <w:name w:val="DLM Security Header Char"/>
    <w:basedOn w:val="HeaderOddChar"/>
    <w:link w:val="DLMSecurityHeader"/>
    <w:rsid w:val="00DA39CC"/>
    <w:rPr>
      <w:rFonts w:ascii="Calibri" w:hAnsi="Calibri"/>
      <w:b/>
      <w:caps/>
      <w:color w:val="31A7D4" w:themeColor="accent1"/>
      <w:sz w:val="24"/>
    </w:rPr>
  </w:style>
  <w:style w:type="paragraph" w:customStyle="1" w:styleId="DLMSecurityFooter">
    <w:name w:val="DLM Security Footer"/>
    <w:link w:val="DLMSecurityFooterChar"/>
    <w:rsid w:val="00DA39CC"/>
    <w:pPr>
      <w:spacing w:before="240" w:after="60"/>
      <w:jc w:val="center"/>
    </w:pPr>
    <w:rPr>
      <w:rFonts w:ascii="Calibri" w:hAnsi="Calibri"/>
      <w:b/>
      <w:caps/>
      <w:color w:val="31A7D4" w:themeColor="accent1"/>
      <w:sz w:val="24"/>
    </w:rPr>
  </w:style>
  <w:style w:type="character" w:customStyle="1" w:styleId="DLMSecurityFooterChar">
    <w:name w:val="DLM Security Footer Char"/>
    <w:basedOn w:val="HeaderOddChar"/>
    <w:link w:val="DLMSecurityFooter"/>
    <w:rsid w:val="00DA39CC"/>
    <w:rPr>
      <w:rFonts w:ascii="Calibri" w:hAnsi="Calibri"/>
      <w:b/>
      <w:caps/>
      <w:color w:val="31A7D4" w:themeColor="accent1"/>
      <w:sz w:val="24"/>
    </w:rPr>
  </w:style>
  <w:style w:type="paragraph" w:customStyle="1" w:styleId="Keyfindingbullet">
    <w:name w:val="Key finding bullet"/>
    <w:basedOn w:val="Keyfindingtext"/>
    <w:uiPriority w:val="1"/>
    <w:qFormat/>
    <w:rsid w:val="00C06409"/>
    <w:pPr>
      <w:numPr>
        <w:numId w:val="12"/>
      </w:numPr>
      <w:ind w:left="425" w:hanging="425"/>
    </w:pPr>
    <w:rPr>
      <w:rFonts w:eastAsiaTheme="minorHAnsi"/>
    </w:rPr>
  </w:style>
  <w:style w:type="paragraph" w:customStyle="1" w:styleId="Questionheading">
    <w:name w:val="Question heading"/>
    <w:basedOn w:val="Normal"/>
    <w:qFormat/>
    <w:rsid w:val="00157DC2"/>
    <w:pPr>
      <w:spacing w:before="80" w:line="240" w:lineRule="auto"/>
    </w:pPr>
    <w:rPr>
      <w:b/>
      <w:color w:val="31A7D4" w:themeColor="accent1"/>
      <w:sz w:val="28"/>
      <w:szCs w:val="28"/>
    </w:rPr>
  </w:style>
  <w:style w:type="paragraph" w:customStyle="1" w:styleId="Questiontext">
    <w:name w:val="Question text"/>
    <w:basedOn w:val="ListParagraph"/>
    <w:qFormat/>
    <w:rsid w:val="00157DC2"/>
    <w:pPr>
      <w:numPr>
        <w:numId w:val="25"/>
      </w:numPr>
      <w:spacing w:after="120" w:line="240" w:lineRule="auto"/>
      <w:contextualSpacing w:val="0"/>
    </w:pPr>
    <w:rPr>
      <w:color w:val="000000" w:themeColor="text1"/>
    </w:rPr>
  </w:style>
  <w:style w:type="paragraph" w:customStyle="1" w:styleId="Source">
    <w:name w:val="Source"/>
    <w:basedOn w:val="Normal"/>
    <w:uiPriority w:val="1"/>
    <w:qFormat/>
    <w:rsid w:val="00157DC2"/>
    <w:pPr>
      <w:spacing w:before="20" w:after="0" w:line="240" w:lineRule="auto"/>
    </w:pPr>
    <w:rPr>
      <w:color w:val="000000" w:themeColor="text1"/>
      <w:sz w:val="20"/>
    </w:rPr>
  </w:style>
  <w:style w:type="paragraph" w:customStyle="1" w:styleId="Overviewheading">
    <w:name w:val="Overview heading"/>
    <w:basedOn w:val="Heading2"/>
    <w:qFormat/>
    <w:rsid w:val="00157DC2"/>
    <w:pPr>
      <w:numPr>
        <w:numId w:val="0"/>
      </w:numPr>
      <w:spacing w:after="240"/>
    </w:pPr>
  </w:style>
  <w:style w:type="paragraph" w:styleId="NormalWeb">
    <w:name w:val="Normal (Web)"/>
    <w:basedOn w:val="Normal"/>
    <w:semiHidden/>
    <w:rsid w:val="00AC472D"/>
    <w:rPr>
      <w:rFonts w:ascii="Times New Roman" w:hAnsi="Times New Roman"/>
      <w:szCs w:val="24"/>
    </w:rPr>
  </w:style>
  <w:style w:type="paragraph" w:styleId="Revision">
    <w:name w:val="Revision"/>
    <w:hidden/>
    <w:uiPriority w:val="99"/>
    <w:semiHidden/>
    <w:rsid w:val="00FA510D"/>
    <w:rPr>
      <w:rFonts w:asciiTheme="minorHAnsi" w:hAnsiTheme="minorHAnsi"/>
      <w:color w:val="000000" w:themeColor="text1"/>
      <w:sz w:val="24"/>
    </w:rPr>
  </w:style>
  <w:style w:type="character" w:customStyle="1" w:styleId="BulletChar">
    <w:name w:val="Bullet Char"/>
    <w:basedOn w:val="DefaultParagraphFont"/>
    <w:link w:val="Bullet"/>
    <w:rsid w:val="00875144"/>
    <w:rPr>
      <w:rFonts w:asciiTheme="minorHAnsi" w:hAnsiTheme="minorHAnsi"/>
      <w:color w:val="000000" w:themeColor="text1"/>
      <w:sz w:val="24"/>
    </w:rPr>
  </w:style>
  <w:style w:type="character" w:customStyle="1" w:styleId="CommentTextChar">
    <w:name w:val="Comment Text Char"/>
    <w:basedOn w:val="DefaultParagraphFont"/>
    <w:link w:val="CommentText"/>
    <w:uiPriority w:val="99"/>
    <w:semiHidden/>
    <w:rsid w:val="00FE171A"/>
    <w:rPr>
      <w:rFonts w:asciiTheme="minorHAnsi" w:hAnsiTheme="minorHAnsi"/>
      <w:color w:val="000000" w:themeColor="text1"/>
      <w:sz w:val="24"/>
    </w:rPr>
  </w:style>
  <w:style w:type="paragraph" w:customStyle="1" w:styleId="OverviewText">
    <w:name w:val="Overview Text"/>
    <w:basedOn w:val="Keyfindingtext"/>
    <w:uiPriority w:val="1"/>
    <w:qFormat/>
    <w:rsid w:val="001C2E60"/>
    <w:pPr>
      <w:numPr>
        <w:numId w:val="0"/>
      </w:numPr>
      <w:spacing w:after="240"/>
    </w:pPr>
  </w:style>
  <w:style w:type="character" w:customStyle="1" w:styleId="Heading1Char">
    <w:name w:val="Heading 1 Char"/>
    <w:basedOn w:val="DefaultParagraphFont"/>
    <w:link w:val="Heading1"/>
    <w:rsid w:val="00157DC2"/>
    <w:rPr>
      <w:rFonts w:ascii="Arial" w:hAnsi="Arial" w:cs="Arial"/>
      <w:b/>
      <w:bCs/>
      <w:color w:val="000000" w:themeColor="text1"/>
      <w:kern w:val="32"/>
      <w:sz w:val="66"/>
      <w:szCs w:val="36"/>
    </w:rPr>
  </w:style>
  <w:style w:type="character" w:customStyle="1" w:styleId="Heading2Char">
    <w:name w:val="Heading 2 Char"/>
    <w:basedOn w:val="DefaultParagraphFont"/>
    <w:link w:val="Heading2"/>
    <w:rsid w:val="000D0ADB"/>
    <w:rPr>
      <w:rFonts w:ascii="Arial" w:hAnsi="Arial" w:cs="Arial"/>
      <w:b/>
      <w:bCs/>
      <w:color w:val="000000" w:themeColor="text1"/>
      <w:kern w:val="32"/>
      <w:sz w:val="40"/>
      <w:szCs w:val="36"/>
    </w:rPr>
  </w:style>
  <w:style w:type="paragraph" w:styleId="Title">
    <w:name w:val="Title"/>
    <w:basedOn w:val="Normal"/>
    <w:next w:val="Normal"/>
    <w:link w:val="TitleChar"/>
    <w:uiPriority w:val="10"/>
    <w:rsid w:val="00157DC2"/>
    <w:pPr>
      <w:pBdr>
        <w:bottom w:val="single" w:sz="8" w:space="4" w:color="31A7D4" w:themeColor="accent1"/>
      </w:pBdr>
      <w:spacing w:after="300"/>
      <w:contextualSpacing/>
    </w:pPr>
    <w:rPr>
      <w:rFonts w:ascii="Calibri" w:eastAsiaTheme="majorEastAsia" w:hAnsi="Calibri" w:cstheme="majorBidi"/>
      <w:color w:val="217DA1" w:themeColor="text2" w:themeShade="BF"/>
      <w:spacing w:val="5"/>
      <w:kern w:val="28"/>
      <w:sz w:val="52"/>
      <w:szCs w:val="52"/>
    </w:rPr>
  </w:style>
  <w:style w:type="character" w:customStyle="1" w:styleId="TitleChar">
    <w:name w:val="Title Char"/>
    <w:basedOn w:val="DefaultParagraphFont"/>
    <w:link w:val="Title"/>
    <w:uiPriority w:val="10"/>
    <w:rsid w:val="00157DC2"/>
    <w:rPr>
      <w:rFonts w:ascii="Calibri" w:eastAsiaTheme="majorEastAsia" w:hAnsi="Calibri" w:cstheme="majorBidi"/>
      <w:color w:val="217DA1" w:themeColor="text2" w:themeShade="BF"/>
      <w:spacing w:val="5"/>
      <w:kern w:val="28"/>
      <w:sz w:val="52"/>
      <w:szCs w:val="52"/>
    </w:rPr>
  </w:style>
  <w:style w:type="paragraph" w:customStyle="1" w:styleId="Bullets">
    <w:name w:val="Bullets"/>
    <w:basedOn w:val="ListParagraph"/>
    <w:qFormat/>
    <w:rsid w:val="00157DC2"/>
    <w:pPr>
      <w:numPr>
        <w:numId w:val="24"/>
      </w:numPr>
      <w:spacing w:after="120"/>
      <w:ind w:left="567" w:hanging="567"/>
      <w:contextualSpacing w:val="0"/>
    </w:pPr>
  </w:style>
  <w:style w:type="paragraph" w:styleId="Quote">
    <w:name w:val="Quote"/>
    <w:basedOn w:val="Normal"/>
    <w:next w:val="Normal"/>
    <w:link w:val="QuoteChar"/>
    <w:uiPriority w:val="29"/>
    <w:qFormat/>
    <w:rsid w:val="00157DC2"/>
    <w:pPr>
      <w:spacing w:before="120"/>
      <w:ind w:left="567"/>
    </w:pPr>
    <w:rPr>
      <w:iCs/>
      <w:color w:val="000000" w:themeColor="text1"/>
    </w:rPr>
  </w:style>
  <w:style w:type="character" w:customStyle="1" w:styleId="QuoteChar">
    <w:name w:val="Quote Char"/>
    <w:basedOn w:val="DefaultParagraphFont"/>
    <w:link w:val="Quote"/>
    <w:uiPriority w:val="29"/>
    <w:rsid w:val="00157DC2"/>
    <w:rPr>
      <w:rFonts w:ascii="Arial" w:hAnsi="Arial"/>
      <w:iCs/>
      <w:color w:val="000000" w:themeColor="text1"/>
      <w:sz w:val="22"/>
    </w:rPr>
  </w:style>
  <w:style w:type="character" w:customStyle="1" w:styleId="Heading3Char">
    <w:name w:val="Heading 3 Char"/>
    <w:basedOn w:val="DefaultParagraphFont"/>
    <w:link w:val="Heading3"/>
    <w:rsid w:val="00157DC2"/>
    <w:rPr>
      <w:rFonts w:ascii="Arial" w:eastAsiaTheme="majorEastAsia" w:hAnsi="Arial" w:cstheme="majorBidi"/>
      <w:b/>
      <w:bCs/>
      <w:color w:val="31A7D4" w:themeColor="accent1"/>
      <w:sz w:val="30"/>
    </w:rPr>
  </w:style>
  <w:style w:type="paragraph" w:customStyle="1" w:styleId="Overviewtext0">
    <w:name w:val="Overview text"/>
    <w:basedOn w:val="Normal"/>
    <w:qFormat/>
    <w:rsid w:val="00157DC2"/>
    <w:rPr>
      <w:sz w:val="32"/>
      <w:szCs w:val="32"/>
    </w:rPr>
  </w:style>
  <w:style w:type="paragraph" w:customStyle="1" w:styleId="Singleparagraph0">
    <w:name w:val="Single paragraph"/>
    <w:basedOn w:val="Normal"/>
    <w:qFormat/>
    <w:rsid w:val="00157DC2"/>
    <w:pPr>
      <w:spacing w:after="0" w:line="240" w:lineRule="auto"/>
    </w:pPr>
  </w:style>
  <w:style w:type="paragraph" w:customStyle="1" w:styleId="Overviewheading2">
    <w:name w:val="Overview heading 2"/>
    <w:basedOn w:val="Heading2"/>
    <w:qFormat/>
    <w:rsid w:val="00157DC2"/>
    <w:pPr>
      <w:numPr>
        <w:numId w:val="0"/>
      </w:numPr>
      <w:pBdr>
        <w:top w:val="none" w:sz="0" w:space="0" w:color="auto"/>
        <w:bottom w:val="none" w:sz="0" w:space="0" w:color="auto"/>
      </w:pBdr>
      <w:spacing w:after="120"/>
    </w:pPr>
    <w:rPr>
      <w:color w:val="31A7D4" w:themeColor="accent1"/>
      <w:sz w:val="30"/>
      <w:szCs w:val="32"/>
    </w:rPr>
  </w:style>
  <w:style w:type="character" w:customStyle="1" w:styleId="BalloonTextChar">
    <w:name w:val="Balloon Text Char"/>
    <w:basedOn w:val="DefaultParagraphFont"/>
    <w:link w:val="BalloonText"/>
    <w:uiPriority w:val="99"/>
    <w:semiHidden/>
    <w:rsid w:val="00157DC2"/>
    <w:rPr>
      <w:rFonts w:ascii="Tahoma" w:hAnsi="Tahoma" w:cs="Tahoma"/>
      <w:sz w:val="16"/>
      <w:szCs w:val="16"/>
    </w:rPr>
  </w:style>
  <w:style w:type="paragraph" w:customStyle="1" w:styleId="ChartandTableNote">
    <w:name w:val="Chart and Table Note"/>
    <w:next w:val="Normal"/>
    <w:rsid w:val="00157DC2"/>
    <w:rPr>
      <w:rFonts w:ascii="Arial" w:hAnsi="Arial"/>
      <w:color w:val="000000" w:themeColor="text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uiPriority="35" w:qFormat="1"/>
    <w:lsdException w:name="envelope address" w:semiHidden="1" w:unhideWhenUsed="1"/>
    <w:lsdException w:name="envelope return" w:semiHidden="1" w:unhideWhenUsed="1"/>
    <w:lsdException w:name="footnote reference" w:uiPriority="99"/>
    <w:lsdException w:name="line number" w:semiHidden="1" w:unhideWhenUsed="1"/>
    <w:lsdException w:name="List" w:semiHidden="1" w:unhideWhenUsed="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Default Paragraph Font" w:uiPriority="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1"/>
    <w:lsdException w:name="Subtitle" w:uiPriority="1"/>
    <w:lsdException w:name="Body Text First Indent" w:semiHidden="1" w:unhideWhenUsed="1"/>
    <w:lsdException w:name="Body Text First Indent 2" w:semiHidden="1" w:unhideWhenUsed="1"/>
    <w:lsdException w:name="Note Heading" w:uiPriority="2"/>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semiHidden="1"/>
    <w:lsdException w:name="Emphasis" w:semiHidden="1" w:unhideWhenUsed="1" w:qFormat="1"/>
    <w:lsdException w:name="E-mail Signature"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Balloon Text" w:uiPriority="99"/>
    <w:lsdException w:name="Table Grid" w:uiPriority="59"/>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DC2"/>
    <w:pPr>
      <w:spacing w:after="240" w:line="276" w:lineRule="auto"/>
    </w:pPr>
    <w:rPr>
      <w:rFonts w:ascii="Arial" w:hAnsi="Arial"/>
      <w:sz w:val="22"/>
    </w:rPr>
  </w:style>
  <w:style w:type="paragraph" w:styleId="Heading1">
    <w:name w:val="heading 1"/>
    <w:basedOn w:val="Normal"/>
    <w:next w:val="Normal"/>
    <w:link w:val="Heading1Char"/>
    <w:qFormat/>
    <w:rsid w:val="00157DC2"/>
    <w:pPr>
      <w:keepNext/>
      <w:numPr>
        <w:numId w:val="29"/>
      </w:numPr>
      <w:spacing w:before="240" w:after="360" w:line="600" w:lineRule="exact"/>
      <w:ind w:left="357" w:hanging="357"/>
      <w:outlineLvl w:val="0"/>
    </w:pPr>
    <w:rPr>
      <w:rFonts w:cs="Arial"/>
      <w:b/>
      <w:bCs/>
      <w:color w:val="000000" w:themeColor="text1"/>
      <w:kern w:val="32"/>
      <w:sz w:val="66"/>
      <w:szCs w:val="36"/>
    </w:rPr>
  </w:style>
  <w:style w:type="paragraph" w:styleId="Heading2">
    <w:name w:val="heading 2"/>
    <w:basedOn w:val="Heading1"/>
    <w:next w:val="Normal"/>
    <w:link w:val="Heading2Char"/>
    <w:qFormat/>
    <w:rsid w:val="000D0ADB"/>
    <w:pPr>
      <w:numPr>
        <w:ilvl w:val="1"/>
      </w:numPr>
      <w:pBdr>
        <w:top w:val="single" w:sz="12" w:space="3" w:color="31A7D4" w:themeColor="accent1"/>
        <w:bottom w:val="single" w:sz="12" w:space="3" w:color="31A7D4" w:themeColor="accent1"/>
      </w:pBdr>
      <w:spacing w:line="240" w:lineRule="auto"/>
      <w:ind w:left="851" w:hanging="851"/>
      <w:outlineLvl w:val="1"/>
    </w:pPr>
    <w:rPr>
      <w:sz w:val="40"/>
    </w:rPr>
  </w:style>
  <w:style w:type="paragraph" w:styleId="Heading3">
    <w:name w:val="heading 3"/>
    <w:basedOn w:val="Normal"/>
    <w:next w:val="Normal"/>
    <w:link w:val="Heading3Char"/>
    <w:unhideWhenUsed/>
    <w:qFormat/>
    <w:rsid w:val="00157DC2"/>
    <w:pPr>
      <w:keepNext/>
      <w:keepLines/>
      <w:spacing w:before="240" w:after="180" w:line="240" w:lineRule="auto"/>
      <w:outlineLvl w:val="2"/>
    </w:pPr>
    <w:rPr>
      <w:rFonts w:eastAsiaTheme="majorEastAsia" w:cstheme="majorBidi"/>
      <w:b/>
      <w:bCs/>
      <w:color w:val="31A7D4" w:themeColor="accent1"/>
      <w:sz w:val="30"/>
    </w:rPr>
  </w:style>
  <w:style w:type="paragraph" w:styleId="Heading4">
    <w:name w:val="heading 4"/>
    <w:basedOn w:val="Normal"/>
    <w:next w:val="Normal"/>
    <w:link w:val="Heading4Char"/>
    <w:unhideWhenUsed/>
    <w:qFormat/>
    <w:rsid w:val="00157DC2"/>
    <w:pPr>
      <w:keepNext/>
      <w:keepLines/>
      <w:spacing w:before="240" w:after="180"/>
      <w:outlineLvl w:val="3"/>
    </w:pPr>
    <w:rPr>
      <w:rFonts w:eastAsiaTheme="majorEastAsia" w:cstheme="majorBidi"/>
      <w:b/>
      <w:bCs/>
      <w:iCs/>
      <w:color w:val="31A7D4" w:themeColor="accent1"/>
      <w:sz w:val="26"/>
    </w:rPr>
  </w:style>
  <w:style w:type="paragraph" w:styleId="Heading5">
    <w:name w:val="heading 5"/>
    <w:basedOn w:val="Normal"/>
    <w:next w:val="Normal"/>
    <w:link w:val="Heading5Char"/>
    <w:unhideWhenUsed/>
    <w:qFormat/>
    <w:rsid w:val="00157DC2"/>
    <w:pPr>
      <w:keepNext/>
      <w:keepLines/>
      <w:spacing w:before="240" w:after="120"/>
      <w:outlineLvl w:val="4"/>
    </w:pPr>
    <w:rPr>
      <w:rFonts w:eastAsiaTheme="majorEastAsia" w:cstheme="majorBidi"/>
      <w:b/>
      <w:color w:val="31A7D4" w:themeColor="accent1"/>
    </w:rPr>
  </w:style>
  <w:style w:type="paragraph" w:styleId="Heading6">
    <w:name w:val="heading 6"/>
    <w:basedOn w:val="HeadingBase"/>
    <w:next w:val="Normal"/>
    <w:semiHidden/>
    <w:rsid w:val="00B347D9"/>
    <w:pPr>
      <w:numPr>
        <w:ilvl w:val="5"/>
        <w:numId w:val="15"/>
      </w:numPr>
      <w:spacing w:after="120"/>
      <w:outlineLvl w:val="5"/>
    </w:pPr>
    <w:rPr>
      <w:bCs/>
      <w:sz w:val="22"/>
      <w:szCs w:val="22"/>
    </w:rPr>
  </w:style>
  <w:style w:type="paragraph" w:styleId="Heading7">
    <w:name w:val="heading 7"/>
    <w:basedOn w:val="HeadingBase"/>
    <w:next w:val="Normal"/>
    <w:semiHidden/>
    <w:rsid w:val="00A16C23"/>
    <w:pPr>
      <w:numPr>
        <w:ilvl w:val="6"/>
        <w:numId w:val="15"/>
      </w:numPr>
      <w:spacing w:after="120"/>
      <w:outlineLvl w:val="6"/>
    </w:pPr>
    <w:rPr>
      <w:szCs w:val="24"/>
    </w:rPr>
  </w:style>
  <w:style w:type="paragraph" w:styleId="Heading8">
    <w:name w:val="heading 8"/>
    <w:basedOn w:val="HeadingBase"/>
    <w:next w:val="Normal"/>
    <w:semiHidden/>
    <w:rsid w:val="00942526"/>
    <w:pPr>
      <w:numPr>
        <w:ilvl w:val="7"/>
        <w:numId w:val="15"/>
      </w:numPr>
      <w:spacing w:before="60" w:after="60"/>
      <w:jc w:val="center"/>
      <w:outlineLvl w:val="7"/>
    </w:pPr>
    <w:rPr>
      <w:iCs/>
      <w:smallCaps/>
      <w:sz w:val="22"/>
      <w:szCs w:val="24"/>
    </w:rPr>
  </w:style>
  <w:style w:type="paragraph" w:styleId="Heading9">
    <w:name w:val="heading 9"/>
    <w:basedOn w:val="HeadingBase"/>
    <w:next w:val="Normal"/>
    <w:semiHidden/>
    <w:rsid w:val="00942526"/>
    <w:pPr>
      <w:numPr>
        <w:ilvl w:val="8"/>
        <w:numId w:val="15"/>
      </w:num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FE674C"/>
    <w:pPr>
      <w:spacing w:after="0"/>
    </w:pPr>
  </w:style>
  <w:style w:type="character" w:styleId="Hyperlink">
    <w:name w:val="Hyperlink"/>
    <w:basedOn w:val="DefaultParagraphFont"/>
    <w:uiPriority w:val="99"/>
    <w:unhideWhenUsed/>
    <w:rsid w:val="00424549"/>
    <w:rPr>
      <w:color w:val="31A7D4" w:themeColor="text2"/>
      <w:u w:val="none"/>
    </w:rPr>
  </w:style>
  <w:style w:type="character" w:customStyle="1" w:styleId="BoldandItalic">
    <w:name w:val="Bold and Italic"/>
    <w:basedOn w:val="DefaultParagraphFont"/>
    <w:rsid w:val="00D3750D"/>
    <w:rPr>
      <w:rFonts w:ascii="Calibri" w:hAnsi="Calibri"/>
      <w:b/>
      <w:i/>
    </w:rPr>
  </w:style>
  <w:style w:type="table" w:styleId="TableGrid">
    <w:name w:val="Table Grid"/>
    <w:basedOn w:val="TableNormal"/>
    <w:uiPriority w:val="59"/>
    <w:rsid w:val="00157DC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Base">
    <w:name w:val="Table Column Heading Base"/>
    <w:basedOn w:val="Normal"/>
    <w:uiPriority w:val="1"/>
    <w:unhideWhenUsed/>
    <w:rsid w:val="00634574"/>
    <w:pPr>
      <w:spacing w:before="40" w:after="40"/>
    </w:pPr>
    <w:rPr>
      <w:b/>
      <w:color w:val="009976"/>
      <w:sz w:val="16"/>
    </w:rPr>
  </w:style>
  <w:style w:type="paragraph" w:styleId="FootnoteText">
    <w:name w:val="footnote text"/>
    <w:basedOn w:val="Normal"/>
    <w:link w:val="FootnoteTextChar"/>
    <w:uiPriority w:val="99"/>
    <w:rsid w:val="00157DC2"/>
    <w:pPr>
      <w:spacing w:before="40" w:after="0" w:line="240" w:lineRule="auto"/>
      <w:ind w:left="426" w:hanging="426"/>
    </w:pPr>
    <w:rPr>
      <w:sz w:val="18"/>
    </w:rPr>
  </w:style>
  <w:style w:type="paragraph" w:customStyle="1" w:styleId="Bullet">
    <w:name w:val="Bullet"/>
    <w:aliases w:val="b,b1,b + line,Body,level 1"/>
    <w:basedOn w:val="Normal"/>
    <w:link w:val="BulletChar"/>
    <w:qFormat/>
    <w:rsid w:val="00F37E7D"/>
    <w:pPr>
      <w:numPr>
        <w:numId w:val="1"/>
      </w:numPr>
      <w:spacing w:after="120"/>
      <w:ind w:left="1134" w:hanging="567"/>
    </w:pPr>
  </w:style>
  <w:style w:type="paragraph" w:customStyle="1" w:styleId="Dash">
    <w:name w:val="Dash"/>
    <w:basedOn w:val="Normal"/>
    <w:rsid w:val="00157DC2"/>
    <w:pPr>
      <w:numPr>
        <w:ilvl w:val="1"/>
        <w:numId w:val="1"/>
      </w:numPr>
      <w:tabs>
        <w:tab w:val="clear" w:pos="1134"/>
        <w:tab w:val="num" w:pos="993"/>
      </w:tabs>
      <w:spacing w:before="120" w:after="120" w:line="240" w:lineRule="auto"/>
      <w:ind w:left="993" w:hanging="427"/>
    </w:pPr>
    <w:rPr>
      <w:color w:val="000000" w:themeColor="text1"/>
    </w:rPr>
  </w:style>
  <w:style w:type="paragraph" w:customStyle="1" w:styleId="DoubleDot">
    <w:name w:val="Double Dot"/>
    <w:basedOn w:val="Normal"/>
    <w:rsid w:val="00157DC2"/>
    <w:pPr>
      <w:numPr>
        <w:ilvl w:val="2"/>
        <w:numId w:val="1"/>
      </w:numPr>
      <w:tabs>
        <w:tab w:val="clear" w:pos="1700"/>
        <w:tab w:val="num" w:pos="1276"/>
      </w:tabs>
      <w:spacing w:before="120" w:after="120" w:line="240" w:lineRule="auto"/>
      <w:ind w:left="1276" w:hanging="283"/>
    </w:pPr>
    <w:rPr>
      <w:color w:val="000000" w:themeColor="text1"/>
    </w:rPr>
  </w:style>
  <w:style w:type="paragraph" w:customStyle="1" w:styleId="OutlineNumbered1">
    <w:name w:val="Outline Numbered 1"/>
    <w:basedOn w:val="Normal"/>
    <w:rsid w:val="00C622C8"/>
    <w:pPr>
      <w:numPr>
        <w:numId w:val="9"/>
      </w:numPr>
      <w:spacing w:line="280" w:lineRule="exact"/>
      <w:jc w:val="both"/>
    </w:pPr>
  </w:style>
  <w:style w:type="paragraph" w:customStyle="1" w:styleId="OutlineNumbered2">
    <w:name w:val="Outline Numbered 2"/>
    <w:basedOn w:val="Normal"/>
    <w:qFormat/>
    <w:rsid w:val="00C622C8"/>
    <w:pPr>
      <w:numPr>
        <w:ilvl w:val="1"/>
        <w:numId w:val="8"/>
      </w:numPr>
      <w:spacing w:line="280" w:lineRule="exact"/>
      <w:jc w:val="both"/>
    </w:pPr>
  </w:style>
  <w:style w:type="paragraph" w:customStyle="1" w:styleId="OutlineNumbered3">
    <w:name w:val="Outline Numbered 3"/>
    <w:basedOn w:val="Normal"/>
    <w:rsid w:val="00C622C8"/>
    <w:pPr>
      <w:numPr>
        <w:ilvl w:val="2"/>
        <w:numId w:val="9"/>
      </w:numPr>
      <w:spacing w:line="280" w:lineRule="exact"/>
      <w:jc w:val="both"/>
    </w:pPr>
  </w:style>
  <w:style w:type="paragraph" w:customStyle="1" w:styleId="AlphaParagraph">
    <w:name w:val="Alpha Paragraph"/>
    <w:basedOn w:val="Normal"/>
    <w:uiPriority w:val="1"/>
    <w:rsid w:val="00A16C23"/>
    <w:pPr>
      <w:numPr>
        <w:numId w:val="2"/>
      </w:numPr>
    </w:pPr>
  </w:style>
  <w:style w:type="paragraph" w:customStyle="1" w:styleId="HeadingBase">
    <w:name w:val="Heading Base"/>
    <w:next w:val="Normal"/>
    <w:link w:val="HeadingBaseChar"/>
    <w:rsid w:val="00424549"/>
    <w:pPr>
      <w:keepNext/>
    </w:pPr>
    <w:rPr>
      <w:rFonts w:ascii="Calibri" w:hAnsi="Calibri"/>
      <w:color w:val="31A7D4" w:themeColor="accent1"/>
    </w:rPr>
  </w:style>
  <w:style w:type="paragraph" w:customStyle="1" w:styleId="AppendixHeading">
    <w:name w:val="Appendix Heading"/>
    <w:basedOn w:val="HeadingBase"/>
    <w:next w:val="Normal"/>
    <w:rsid w:val="00D3750D"/>
    <w:pPr>
      <w:spacing w:before="720" w:after="360"/>
      <w:outlineLvl w:val="0"/>
    </w:pPr>
    <w:rPr>
      <w:b/>
      <w:smallCaps/>
      <w:sz w:val="36"/>
      <w:szCs w:val="36"/>
    </w:rPr>
  </w:style>
  <w:style w:type="character" w:customStyle="1" w:styleId="Bold">
    <w:name w:val="Bold"/>
    <w:basedOn w:val="DefaultParagraphFont"/>
    <w:rsid w:val="00A16C23"/>
    <w:rPr>
      <w:b/>
    </w:rPr>
  </w:style>
  <w:style w:type="paragraph" w:customStyle="1" w:styleId="BoxHeading">
    <w:name w:val="Box Heading"/>
    <w:basedOn w:val="Caption"/>
    <w:next w:val="BoxText"/>
    <w:unhideWhenUsed/>
    <w:rsid w:val="00157DC2"/>
    <w:rPr>
      <w:sz w:val="28"/>
      <w:szCs w:val="28"/>
    </w:rPr>
  </w:style>
  <w:style w:type="paragraph" w:customStyle="1" w:styleId="BoxTextBase">
    <w:name w:val="Box Text Base"/>
    <w:basedOn w:val="Normal"/>
    <w:unhideWhenUsed/>
    <w:rsid w:val="00157DC2"/>
    <w:pPr>
      <w:shd w:val="clear" w:color="auto" w:fill="EBEAEA" w:themeFill="accent6" w:themeFillTint="33"/>
      <w:spacing w:before="120" w:line="240" w:lineRule="auto"/>
    </w:pPr>
    <w:rPr>
      <w:color w:val="000000" w:themeColor="text1"/>
    </w:rPr>
  </w:style>
  <w:style w:type="paragraph" w:customStyle="1" w:styleId="ChartandTableFootnoteAlpha">
    <w:name w:val="Chart and Table Footnote Alpha"/>
    <w:rsid w:val="00157DC2"/>
    <w:pPr>
      <w:numPr>
        <w:numId w:val="3"/>
      </w:numPr>
      <w:tabs>
        <w:tab w:val="clear" w:pos="283"/>
        <w:tab w:val="num" w:pos="360"/>
      </w:tabs>
      <w:ind w:left="0" w:firstLine="0"/>
    </w:pPr>
    <w:rPr>
      <w:rFonts w:ascii="Arial" w:hAnsi="Arial"/>
      <w:color w:val="000000"/>
      <w:szCs w:val="16"/>
    </w:rPr>
  </w:style>
  <w:style w:type="paragraph" w:customStyle="1" w:styleId="ChartGraphic">
    <w:name w:val="Chart Graphic"/>
    <w:basedOn w:val="Normal"/>
    <w:next w:val="Normal"/>
    <w:rsid w:val="00157DC2"/>
    <w:pPr>
      <w:keepNext/>
      <w:spacing w:after="0" w:line="240" w:lineRule="auto"/>
      <w:jc w:val="center"/>
    </w:pPr>
    <w:rPr>
      <w:color w:val="636363" w:themeColor="accent2"/>
    </w:rPr>
  </w:style>
  <w:style w:type="paragraph" w:customStyle="1" w:styleId="ChartMainHeading">
    <w:name w:val="Chart Main Heading"/>
    <w:basedOn w:val="Caption"/>
    <w:next w:val="ChartGraphic"/>
    <w:rsid w:val="00157DC2"/>
    <w:pPr>
      <w:keepNext/>
      <w:spacing w:before="120" w:after="60"/>
      <w:jc w:val="center"/>
    </w:pPr>
    <w:rPr>
      <w:sz w:val="20"/>
      <w:szCs w:val="20"/>
    </w:rPr>
  </w:style>
  <w:style w:type="paragraph" w:customStyle="1" w:styleId="ChartorTableNote">
    <w:name w:val="Chart or Table Note"/>
    <w:next w:val="Normal"/>
    <w:rsid w:val="00D44D1F"/>
    <w:pPr>
      <w:jc w:val="both"/>
    </w:pPr>
    <w:rPr>
      <w:rFonts w:asciiTheme="minorHAnsi" w:hAnsiTheme="minorHAnsi"/>
      <w:color w:val="000000"/>
    </w:rPr>
  </w:style>
  <w:style w:type="paragraph" w:customStyle="1" w:styleId="ChartSecondHeading">
    <w:name w:val="Chart Second Heading"/>
    <w:basedOn w:val="HeadingBase"/>
    <w:next w:val="ChartGraphic"/>
    <w:rsid w:val="00A16C23"/>
    <w:pPr>
      <w:spacing w:after="20"/>
      <w:jc w:val="center"/>
    </w:pPr>
  </w:style>
  <w:style w:type="paragraph" w:customStyle="1" w:styleId="Classification">
    <w:name w:val="Classification"/>
    <w:basedOn w:val="HeadingBase"/>
    <w:next w:val="Footer"/>
    <w:semiHidden/>
    <w:rsid w:val="00A16C23"/>
    <w:pPr>
      <w:spacing w:after="120"/>
      <w:jc w:val="center"/>
    </w:pPr>
    <w:rPr>
      <w:b/>
      <w:smallCaps/>
    </w:rPr>
  </w:style>
  <w:style w:type="paragraph" w:styleId="Footer">
    <w:name w:val="footer"/>
    <w:basedOn w:val="Normal"/>
    <w:link w:val="FooterChar"/>
    <w:uiPriority w:val="99"/>
    <w:unhideWhenUsed/>
    <w:rsid w:val="00157DC2"/>
    <w:pPr>
      <w:tabs>
        <w:tab w:val="center" w:pos="4513"/>
        <w:tab w:val="right" w:pos="9026"/>
      </w:tabs>
      <w:spacing w:after="0" w:line="240" w:lineRule="auto"/>
    </w:pPr>
    <w:rPr>
      <w:color w:val="31A7D4" w:themeColor="accent1"/>
      <w:sz w:val="28"/>
    </w:rPr>
  </w:style>
  <w:style w:type="paragraph" w:customStyle="1" w:styleId="ContentsHeading">
    <w:name w:val="Contents Heading"/>
    <w:basedOn w:val="HeadingBase"/>
    <w:next w:val="Normal"/>
    <w:uiPriority w:val="2"/>
    <w:rsid w:val="00103EE9"/>
    <w:pPr>
      <w:spacing w:after="360"/>
      <w:jc w:val="center"/>
    </w:pPr>
    <w:rPr>
      <w:smallCaps/>
      <w:sz w:val="40"/>
      <w:szCs w:val="36"/>
    </w:rPr>
  </w:style>
  <w:style w:type="paragraph" w:customStyle="1" w:styleId="CoverTitleMain">
    <w:name w:val="Cover Title Main"/>
    <w:basedOn w:val="HeadingBase"/>
    <w:next w:val="Normal"/>
    <w:uiPriority w:val="2"/>
    <w:rsid w:val="00424549"/>
    <w:pPr>
      <w:spacing w:before="720" w:after="480"/>
    </w:pPr>
    <w:rPr>
      <w:b/>
      <w:caps/>
      <w:sz w:val="48"/>
    </w:rPr>
  </w:style>
  <w:style w:type="paragraph" w:customStyle="1" w:styleId="CoverTitleSub">
    <w:name w:val="Cover Title Sub"/>
    <w:basedOn w:val="HeadingBase"/>
    <w:uiPriority w:val="2"/>
    <w:rsid w:val="00634574"/>
    <w:pPr>
      <w:pBdr>
        <w:top w:val="single" w:sz="4" w:space="1" w:color="009976"/>
      </w:pBdr>
      <w:spacing w:after="360"/>
      <w:jc w:val="right"/>
    </w:pPr>
    <w:rPr>
      <w:sz w:val="36"/>
    </w:rPr>
  </w:style>
  <w:style w:type="paragraph" w:customStyle="1" w:styleId="FooterCentered">
    <w:name w:val="Footer Centered"/>
    <w:basedOn w:val="Footer"/>
    <w:unhideWhenUsed/>
    <w:rsid w:val="00A16C23"/>
    <w:pPr>
      <w:jc w:val="center"/>
    </w:pPr>
  </w:style>
  <w:style w:type="paragraph" w:customStyle="1" w:styleId="FooterEven">
    <w:name w:val="Footer Even"/>
    <w:basedOn w:val="Footer"/>
    <w:unhideWhenUsed/>
    <w:rsid w:val="00605433"/>
    <w:rPr>
      <w:sz w:val="32"/>
      <w:szCs w:val="32"/>
    </w:rPr>
  </w:style>
  <w:style w:type="paragraph" w:customStyle="1" w:styleId="FooterOdd">
    <w:name w:val="Footer Odd"/>
    <w:basedOn w:val="Footer"/>
    <w:unhideWhenUsed/>
    <w:rsid w:val="00605433"/>
  </w:style>
  <w:style w:type="character" w:customStyle="1" w:styleId="FramedFooter">
    <w:name w:val="Framed Footer"/>
    <w:semiHidden/>
    <w:rsid w:val="00634574"/>
    <w:rPr>
      <w:rFonts w:ascii="Arial" w:hAnsi="Arial"/>
      <w:color w:val="31A7D4" w:themeColor="accent1"/>
      <w:sz w:val="18"/>
    </w:rPr>
  </w:style>
  <w:style w:type="character" w:customStyle="1" w:styleId="FramedHeader">
    <w:name w:val="Framed Header"/>
    <w:basedOn w:val="DefaultParagraphFont"/>
    <w:semiHidden/>
    <w:rsid w:val="00634574"/>
    <w:rPr>
      <w:rFonts w:ascii="Arial" w:hAnsi="Arial"/>
      <w:dstrike w:val="0"/>
      <w:color w:val="31A7D4" w:themeColor="accent1"/>
      <w:sz w:val="18"/>
      <w:vertAlign w:val="baseline"/>
    </w:rPr>
  </w:style>
  <w:style w:type="paragraph" w:styleId="Header">
    <w:name w:val="header"/>
    <w:basedOn w:val="Normal"/>
    <w:link w:val="HeaderChar"/>
    <w:uiPriority w:val="99"/>
    <w:unhideWhenUsed/>
    <w:rsid w:val="00157DC2"/>
    <w:pPr>
      <w:tabs>
        <w:tab w:val="center" w:pos="4513"/>
        <w:tab w:val="right" w:pos="9026"/>
      </w:tabs>
      <w:spacing w:after="0" w:line="240" w:lineRule="auto"/>
      <w:jc w:val="right"/>
    </w:pPr>
    <w:rPr>
      <w:color w:val="636363" w:themeColor="accent2"/>
    </w:rPr>
  </w:style>
  <w:style w:type="paragraph" w:customStyle="1" w:styleId="HeaderEven">
    <w:name w:val="Header Even"/>
    <w:basedOn w:val="Header"/>
    <w:rsid w:val="007064F6"/>
    <w:pPr>
      <w:jc w:val="left"/>
    </w:pPr>
  </w:style>
  <w:style w:type="paragraph" w:customStyle="1" w:styleId="HeaderOdd">
    <w:name w:val="Header Odd"/>
    <w:basedOn w:val="Header"/>
    <w:link w:val="HeaderOddChar"/>
    <w:rsid w:val="00A16C23"/>
  </w:style>
  <w:style w:type="paragraph" w:styleId="NormalIndent">
    <w:name w:val="Normal Indent"/>
    <w:basedOn w:val="Normal"/>
    <w:semiHidden/>
    <w:rsid w:val="00B2418A"/>
    <w:pPr>
      <w:ind w:left="567"/>
    </w:pPr>
    <w:rPr>
      <w:i/>
    </w:rPr>
  </w:style>
  <w:style w:type="paragraph" w:customStyle="1" w:styleId="RecommendationHeading">
    <w:name w:val="Recommendation Heading"/>
    <w:basedOn w:val="HeadingBase"/>
    <w:next w:val="RecommendationText"/>
    <w:qFormat/>
    <w:rsid w:val="0052543A"/>
    <w:pPr>
      <w:spacing w:before="120" w:after="120"/>
    </w:pPr>
    <w:rPr>
      <w:b/>
      <w:sz w:val="24"/>
    </w:rPr>
  </w:style>
  <w:style w:type="paragraph" w:customStyle="1" w:styleId="RecommendationTextBase">
    <w:name w:val="Recommendation Text Base"/>
    <w:basedOn w:val="Normal"/>
    <w:rsid w:val="0045339B"/>
    <w:pPr>
      <w:spacing w:after="120"/>
    </w:pPr>
  </w:style>
  <w:style w:type="paragraph" w:customStyle="1" w:styleId="RecommendationText">
    <w:name w:val="Recommendation Text"/>
    <w:basedOn w:val="RecommendationTextBase"/>
    <w:qFormat/>
    <w:rsid w:val="00A16C23"/>
  </w:style>
  <w:style w:type="paragraph" w:customStyle="1" w:styleId="TableTextBase">
    <w:name w:val="Table Text Base"/>
    <w:uiPriority w:val="1"/>
    <w:unhideWhenUsed/>
    <w:rsid w:val="00D3750D"/>
    <w:pPr>
      <w:spacing w:before="40" w:after="40"/>
    </w:pPr>
    <w:rPr>
      <w:rFonts w:asciiTheme="minorHAnsi" w:hAnsiTheme="minorHAnsi"/>
      <w:color w:val="000000"/>
      <w:sz w:val="16"/>
    </w:rPr>
  </w:style>
  <w:style w:type="paragraph" w:customStyle="1" w:styleId="TableColumnHeadingCentred">
    <w:name w:val="Table Column Heading Centred"/>
    <w:basedOn w:val="TableColumnHeadingBase"/>
    <w:uiPriority w:val="1"/>
    <w:unhideWhenUsed/>
    <w:rsid w:val="00EB2A00"/>
    <w:pPr>
      <w:jc w:val="center"/>
    </w:pPr>
  </w:style>
  <w:style w:type="paragraph" w:customStyle="1" w:styleId="TableColumnHeadingLeft">
    <w:name w:val="Table Column Heading Left"/>
    <w:basedOn w:val="TableColumnHeadingBase"/>
    <w:uiPriority w:val="1"/>
    <w:unhideWhenUsed/>
    <w:rsid w:val="00EB2A00"/>
  </w:style>
  <w:style w:type="paragraph" w:customStyle="1" w:styleId="TableColumnHeadingRight">
    <w:name w:val="Table Column Heading Right"/>
    <w:basedOn w:val="TableColumnHeadingBase"/>
    <w:uiPriority w:val="1"/>
    <w:unhideWhenUsed/>
    <w:rsid w:val="00EB2A00"/>
    <w:pPr>
      <w:jc w:val="right"/>
    </w:pPr>
  </w:style>
  <w:style w:type="paragraph" w:customStyle="1" w:styleId="TableGraphic">
    <w:name w:val="Table Graphic"/>
    <w:basedOn w:val="Normal"/>
    <w:next w:val="Normal"/>
    <w:rsid w:val="00157DC2"/>
    <w:pPr>
      <w:keepNext/>
      <w:spacing w:after="0" w:line="240" w:lineRule="auto"/>
    </w:pPr>
    <w:rPr>
      <w:color w:val="636363" w:themeColor="accent2"/>
    </w:rPr>
  </w:style>
  <w:style w:type="paragraph" w:customStyle="1" w:styleId="TableMainHeading">
    <w:name w:val="Table Main Heading"/>
    <w:basedOn w:val="Normal"/>
    <w:next w:val="Normal"/>
    <w:uiPriority w:val="1"/>
    <w:rsid w:val="00157DC2"/>
    <w:pPr>
      <w:keepNext/>
      <w:spacing w:before="120" w:after="60"/>
    </w:pPr>
    <w:rPr>
      <w:b/>
      <w:color w:val="31A7D4" w:themeColor="accent1"/>
    </w:rPr>
  </w:style>
  <w:style w:type="paragraph" w:customStyle="1" w:styleId="TableMainHeadingContd">
    <w:name w:val="Table Main Heading Contd"/>
    <w:basedOn w:val="HeadingBase"/>
    <w:next w:val="TableGraphic"/>
    <w:uiPriority w:val="1"/>
    <w:unhideWhenUsed/>
    <w:rsid w:val="00EB2A00"/>
    <w:pPr>
      <w:pageBreakBefore/>
      <w:spacing w:after="20"/>
    </w:pPr>
    <w:rPr>
      <w:b/>
      <w:sz w:val="22"/>
    </w:rPr>
  </w:style>
  <w:style w:type="paragraph" w:customStyle="1" w:styleId="TableSecondHeading">
    <w:name w:val="Table Second Heading"/>
    <w:basedOn w:val="HeadingBase"/>
    <w:next w:val="TableGraphic"/>
    <w:uiPriority w:val="1"/>
    <w:unhideWhenUsed/>
    <w:rsid w:val="00A16C23"/>
    <w:pPr>
      <w:spacing w:after="20"/>
    </w:pPr>
  </w:style>
  <w:style w:type="paragraph" w:customStyle="1" w:styleId="TableTextCentered">
    <w:name w:val="Table Text Centered"/>
    <w:basedOn w:val="TableTextBase"/>
    <w:uiPriority w:val="1"/>
    <w:unhideWhenUsed/>
    <w:rsid w:val="00A16C23"/>
    <w:pPr>
      <w:jc w:val="center"/>
    </w:pPr>
  </w:style>
  <w:style w:type="paragraph" w:customStyle="1" w:styleId="TableTextIndented">
    <w:name w:val="Table Text Indented"/>
    <w:basedOn w:val="TableTextBase"/>
    <w:uiPriority w:val="1"/>
    <w:unhideWhenUsed/>
    <w:rsid w:val="00A16C23"/>
    <w:pPr>
      <w:ind w:left="284"/>
    </w:pPr>
  </w:style>
  <w:style w:type="paragraph" w:customStyle="1" w:styleId="TableTextLeft">
    <w:name w:val="Table Text Left"/>
    <w:basedOn w:val="Normal"/>
    <w:rsid w:val="00157DC2"/>
    <w:pPr>
      <w:spacing w:before="60" w:after="60"/>
    </w:pPr>
  </w:style>
  <w:style w:type="paragraph" w:customStyle="1" w:styleId="TableTextRight">
    <w:name w:val="Table Text Right"/>
    <w:basedOn w:val="TableTextBase"/>
    <w:uiPriority w:val="1"/>
    <w:unhideWhenUsed/>
    <w:rsid w:val="00A16C23"/>
    <w:pPr>
      <w:jc w:val="right"/>
    </w:pPr>
  </w:style>
  <w:style w:type="paragraph" w:styleId="TOC1">
    <w:name w:val="toc 1"/>
    <w:basedOn w:val="HeadingBase"/>
    <w:next w:val="Normal"/>
    <w:uiPriority w:val="39"/>
    <w:rsid w:val="0030206D"/>
    <w:pPr>
      <w:tabs>
        <w:tab w:val="left" w:pos="567"/>
        <w:tab w:val="right" w:leader="dot" w:pos="9072"/>
      </w:tabs>
      <w:spacing w:before="180" w:after="60"/>
      <w:ind w:left="567" w:right="851" w:hanging="567"/>
    </w:pPr>
    <w:rPr>
      <w:caps/>
      <w:sz w:val="24"/>
      <w:szCs w:val="22"/>
    </w:rPr>
  </w:style>
  <w:style w:type="paragraph" w:styleId="TOC2">
    <w:name w:val="toc 2"/>
    <w:basedOn w:val="Bullet"/>
    <w:next w:val="Normal"/>
    <w:uiPriority w:val="39"/>
    <w:rsid w:val="00D44D1F"/>
    <w:pPr>
      <w:tabs>
        <w:tab w:val="clear" w:pos="566"/>
        <w:tab w:val="num" w:pos="993"/>
      </w:tabs>
      <w:spacing w:before="60" w:after="60" w:line="260" w:lineRule="exact"/>
      <w:ind w:left="993" w:hanging="425"/>
      <w:jc w:val="both"/>
    </w:pPr>
    <w:rPr>
      <w:noProof/>
      <w:color w:val="31A7D4" w:themeColor="accent1"/>
    </w:rPr>
  </w:style>
  <w:style w:type="paragraph" w:styleId="TOC3">
    <w:name w:val="toc 3"/>
    <w:basedOn w:val="Dash"/>
    <w:next w:val="Normal"/>
    <w:uiPriority w:val="39"/>
    <w:unhideWhenUsed/>
    <w:rsid w:val="00D44D1F"/>
    <w:pPr>
      <w:spacing w:before="40" w:after="40" w:line="260" w:lineRule="exact"/>
      <w:ind w:left="1276"/>
      <w:jc w:val="both"/>
    </w:pPr>
    <w:rPr>
      <w:noProof/>
      <w:color w:val="31A7D4" w:themeColor="accent1"/>
    </w:rPr>
  </w:style>
  <w:style w:type="paragraph" w:styleId="TOC4">
    <w:name w:val="toc 4"/>
    <w:basedOn w:val="Normal"/>
    <w:next w:val="Normal"/>
    <w:uiPriority w:val="39"/>
    <w:unhideWhenUsed/>
    <w:rsid w:val="00A16C23"/>
    <w:pPr>
      <w:tabs>
        <w:tab w:val="right" w:leader="dot" w:pos="9072"/>
      </w:tabs>
      <w:spacing w:after="0"/>
      <w:ind w:left="284" w:right="851"/>
    </w:pPr>
  </w:style>
  <w:style w:type="character" w:customStyle="1" w:styleId="italic">
    <w:name w:val="italic"/>
    <w:basedOn w:val="DefaultParagraphFont"/>
    <w:unhideWhenUsed/>
    <w:rsid w:val="00A16C23"/>
    <w:rPr>
      <w:i/>
    </w:rPr>
  </w:style>
  <w:style w:type="paragraph" w:customStyle="1" w:styleId="OneLevelNumberedParagraph">
    <w:name w:val="One Level Numbered Paragraph"/>
    <w:basedOn w:val="Normal"/>
    <w:semiHidden/>
    <w:rsid w:val="00A16C23"/>
    <w:pPr>
      <w:numPr>
        <w:numId w:val="5"/>
      </w:numPr>
    </w:pPr>
  </w:style>
  <w:style w:type="paragraph" w:customStyle="1" w:styleId="BoxText">
    <w:name w:val="Box Text"/>
    <w:basedOn w:val="BoxTextBase"/>
    <w:unhideWhenUsed/>
    <w:rsid w:val="00157DC2"/>
    <w:pPr>
      <w:shd w:val="clear" w:color="auto" w:fill="auto"/>
      <w:spacing w:after="120"/>
    </w:pPr>
  </w:style>
  <w:style w:type="paragraph" w:customStyle="1" w:styleId="BoxBullet">
    <w:name w:val="Box Bullet"/>
    <w:basedOn w:val="BoxTextBase"/>
    <w:unhideWhenUsed/>
    <w:rsid w:val="009D0589"/>
    <w:pPr>
      <w:numPr>
        <w:numId w:val="4"/>
      </w:numPr>
      <w:shd w:val="clear" w:color="auto" w:fill="auto"/>
      <w:tabs>
        <w:tab w:val="clear" w:pos="566"/>
        <w:tab w:val="num" w:pos="426"/>
      </w:tabs>
      <w:spacing w:after="120"/>
      <w:ind w:left="426" w:hanging="426"/>
    </w:pPr>
    <w:rPr>
      <w:rFonts w:cstheme="minorBidi"/>
      <w:szCs w:val="22"/>
      <w:lang w:eastAsia="en-US"/>
    </w:rPr>
  </w:style>
  <w:style w:type="paragraph" w:customStyle="1" w:styleId="BoxDash">
    <w:name w:val="Box Dash"/>
    <w:basedOn w:val="BoxTextBase"/>
    <w:unhideWhenUsed/>
    <w:rsid w:val="00157DC2"/>
    <w:pPr>
      <w:numPr>
        <w:ilvl w:val="1"/>
        <w:numId w:val="4"/>
      </w:numPr>
      <w:shd w:val="clear" w:color="auto" w:fill="auto"/>
      <w:tabs>
        <w:tab w:val="clear" w:pos="1134"/>
        <w:tab w:val="num" w:pos="993"/>
      </w:tabs>
      <w:spacing w:after="120"/>
      <w:ind w:left="993" w:hanging="427"/>
    </w:pPr>
  </w:style>
  <w:style w:type="paragraph" w:customStyle="1" w:styleId="BoxDoubleDot">
    <w:name w:val="Box Double Dot"/>
    <w:basedOn w:val="BoxTextBase"/>
    <w:unhideWhenUsed/>
    <w:rsid w:val="00157DC2"/>
    <w:pPr>
      <w:numPr>
        <w:ilvl w:val="2"/>
        <w:numId w:val="4"/>
      </w:numPr>
      <w:shd w:val="clear" w:color="auto" w:fill="auto"/>
      <w:tabs>
        <w:tab w:val="clear" w:pos="1700"/>
        <w:tab w:val="num" w:pos="1276"/>
      </w:tabs>
      <w:spacing w:after="120"/>
      <w:ind w:left="1276" w:hanging="283"/>
    </w:pPr>
  </w:style>
  <w:style w:type="paragraph" w:customStyle="1" w:styleId="RecommendationBullet">
    <w:name w:val="Recommendation Bullet"/>
    <w:basedOn w:val="RecommendationTextBase"/>
    <w:rsid w:val="00A16C23"/>
    <w:pPr>
      <w:numPr>
        <w:numId w:val="6"/>
      </w:numPr>
    </w:pPr>
  </w:style>
  <w:style w:type="paragraph" w:customStyle="1" w:styleId="RecommendationDash">
    <w:name w:val="Recommendation Dash"/>
    <w:basedOn w:val="RecommendationTextBase"/>
    <w:rsid w:val="00A16C23"/>
    <w:pPr>
      <w:numPr>
        <w:ilvl w:val="1"/>
        <w:numId w:val="6"/>
      </w:numPr>
    </w:pPr>
  </w:style>
  <w:style w:type="paragraph" w:customStyle="1" w:styleId="RecommendationDoubleDot">
    <w:name w:val="Recommendation Double Dot"/>
    <w:basedOn w:val="RecommendationTextBase"/>
    <w:rsid w:val="00A16C23"/>
    <w:pPr>
      <w:numPr>
        <w:ilvl w:val="2"/>
        <w:numId w:val="6"/>
      </w:numPr>
    </w:pPr>
  </w:style>
  <w:style w:type="character" w:styleId="FollowedHyperlink">
    <w:name w:val="FollowedHyperlink"/>
    <w:basedOn w:val="DefaultParagraphFont"/>
    <w:unhideWhenUsed/>
    <w:rsid w:val="00A16C23"/>
    <w:rPr>
      <w:color w:val="auto"/>
      <w:u w:val="none"/>
    </w:rPr>
  </w:style>
  <w:style w:type="paragraph" w:customStyle="1" w:styleId="Heading1NotNumbered">
    <w:name w:val="Heading 1 Not Numbered"/>
    <w:basedOn w:val="HeadingBase"/>
    <w:next w:val="Normal"/>
    <w:rsid w:val="00763B40"/>
    <w:pPr>
      <w:spacing w:before="720" w:after="360"/>
    </w:pPr>
    <w:rPr>
      <w:smallCaps/>
      <w:sz w:val="40"/>
      <w:szCs w:val="36"/>
    </w:rPr>
  </w:style>
  <w:style w:type="paragraph" w:customStyle="1" w:styleId="Heading2NotNumbered">
    <w:name w:val="Heading 2 Not Numbered"/>
    <w:basedOn w:val="HeadingBase"/>
    <w:next w:val="Normal"/>
    <w:rsid w:val="002F377B"/>
    <w:pPr>
      <w:spacing w:before="360" w:after="180"/>
    </w:pPr>
    <w:rPr>
      <w:smallCaps/>
      <w:sz w:val="32"/>
      <w:szCs w:val="28"/>
    </w:rPr>
  </w:style>
  <w:style w:type="paragraph" w:customStyle="1" w:styleId="Heading3NotNumbered">
    <w:name w:val="Heading 3 Not Numbered"/>
    <w:basedOn w:val="HeadingBase"/>
    <w:next w:val="Normal"/>
    <w:rsid w:val="0033013B"/>
    <w:pPr>
      <w:spacing w:before="240" w:after="120"/>
    </w:pPr>
    <w:rPr>
      <w:sz w:val="28"/>
      <w:szCs w:val="26"/>
    </w:rPr>
  </w:style>
  <w:style w:type="paragraph" w:customStyle="1" w:styleId="Heading4NotNumbered">
    <w:name w:val="Heading 4 Not Numbered"/>
    <w:basedOn w:val="HeadingBase"/>
    <w:unhideWhenUsed/>
    <w:rsid w:val="00D44D1F"/>
    <w:pPr>
      <w:spacing w:before="120" w:after="120"/>
      <w:outlineLvl w:val="3"/>
    </w:pPr>
    <w:rPr>
      <w:i/>
      <w:sz w:val="26"/>
    </w:rPr>
  </w:style>
  <w:style w:type="paragraph" w:styleId="BalloonText">
    <w:name w:val="Balloon Text"/>
    <w:basedOn w:val="Normal"/>
    <w:link w:val="BalloonTextChar"/>
    <w:uiPriority w:val="99"/>
    <w:semiHidden/>
    <w:unhideWhenUsed/>
    <w:rsid w:val="00157DC2"/>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157DC2"/>
    <w:pPr>
      <w:spacing w:after="200" w:line="240" w:lineRule="auto"/>
    </w:pPr>
    <w:rPr>
      <w:b/>
      <w:bCs/>
      <w:color w:val="31A7D4" w:themeColor="accent1"/>
      <w:sz w:val="18"/>
      <w:szCs w:val="18"/>
    </w:rPr>
  </w:style>
  <w:style w:type="character" w:styleId="CommentReference">
    <w:name w:val="annotation reference"/>
    <w:basedOn w:val="DefaultParagraphFont"/>
    <w:semiHidden/>
    <w:rsid w:val="005E76C1"/>
    <w:rPr>
      <w:sz w:val="16"/>
      <w:szCs w:val="16"/>
    </w:rPr>
  </w:style>
  <w:style w:type="paragraph" w:styleId="CommentText">
    <w:name w:val="annotation text"/>
    <w:basedOn w:val="Normal"/>
    <w:link w:val="CommentTextChar"/>
    <w:semiHidden/>
    <w:rsid w:val="005E76C1"/>
  </w:style>
  <w:style w:type="paragraph" w:styleId="CommentSubject">
    <w:name w:val="annotation subject"/>
    <w:basedOn w:val="CommentText"/>
    <w:next w:val="CommentText"/>
    <w:semiHidden/>
    <w:rsid w:val="005E76C1"/>
    <w:rPr>
      <w:b/>
      <w:bCs/>
    </w:rPr>
  </w:style>
  <w:style w:type="paragraph" w:styleId="DocumentMap">
    <w:name w:val="Document Map"/>
    <w:basedOn w:val="Normal"/>
    <w:semiHidden/>
    <w:rsid w:val="005E76C1"/>
    <w:pPr>
      <w:shd w:val="clear" w:color="auto" w:fill="000080"/>
    </w:pPr>
    <w:rPr>
      <w:rFonts w:ascii="Tahoma" w:hAnsi="Tahoma" w:cs="Tahoma"/>
    </w:rPr>
  </w:style>
  <w:style w:type="character" w:styleId="EndnoteReference">
    <w:name w:val="endnote reference"/>
    <w:basedOn w:val="DefaultParagraphFont"/>
    <w:semiHidden/>
    <w:rsid w:val="005E76C1"/>
    <w:rPr>
      <w:vertAlign w:val="superscript"/>
    </w:rPr>
  </w:style>
  <w:style w:type="paragraph" w:styleId="EndnoteText">
    <w:name w:val="endnote text"/>
    <w:basedOn w:val="Normal"/>
    <w:semiHidden/>
    <w:rsid w:val="005E76C1"/>
  </w:style>
  <w:style w:type="character" w:styleId="FootnoteReference">
    <w:name w:val="footnote reference"/>
    <w:basedOn w:val="DefaultParagraphFont"/>
    <w:uiPriority w:val="99"/>
    <w:unhideWhenUsed/>
    <w:rsid w:val="00157DC2"/>
    <w:rPr>
      <w:vertAlign w:val="superscript"/>
    </w:rPr>
  </w:style>
  <w:style w:type="paragraph" w:styleId="Index1">
    <w:name w:val="index 1"/>
    <w:basedOn w:val="Normal"/>
    <w:next w:val="Normal"/>
    <w:autoRedefine/>
    <w:semiHidden/>
    <w:rsid w:val="005E76C1"/>
    <w:pPr>
      <w:ind w:left="200" w:hanging="200"/>
    </w:pPr>
  </w:style>
  <w:style w:type="paragraph" w:styleId="Index2">
    <w:name w:val="index 2"/>
    <w:basedOn w:val="Normal"/>
    <w:next w:val="Normal"/>
    <w:autoRedefine/>
    <w:semiHidden/>
    <w:rsid w:val="005E76C1"/>
    <w:pPr>
      <w:ind w:left="400" w:hanging="200"/>
    </w:pPr>
  </w:style>
  <w:style w:type="paragraph" w:styleId="Index3">
    <w:name w:val="index 3"/>
    <w:basedOn w:val="Normal"/>
    <w:next w:val="Normal"/>
    <w:autoRedefine/>
    <w:semiHidden/>
    <w:rsid w:val="005E76C1"/>
    <w:pPr>
      <w:ind w:left="600" w:hanging="200"/>
    </w:pPr>
  </w:style>
  <w:style w:type="paragraph" w:styleId="Index4">
    <w:name w:val="index 4"/>
    <w:basedOn w:val="Normal"/>
    <w:next w:val="Normal"/>
    <w:autoRedefine/>
    <w:semiHidden/>
    <w:rsid w:val="005E76C1"/>
    <w:pPr>
      <w:ind w:left="800" w:hanging="200"/>
    </w:pPr>
  </w:style>
  <w:style w:type="paragraph" w:styleId="Index5">
    <w:name w:val="index 5"/>
    <w:basedOn w:val="Normal"/>
    <w:next w:val="Normal"/>
    <w:autoRedefine/>
    <w:semiHidden/>
    <w:rsid w:val="005E76C1"/>
    <w:pPr>
      <w:ind w:left="1000" w:hanging="200"/>
    </w:pPr>
  </w:style>
  <w:style w:type="paragraph" w:styleId="Index6">
    <w:name w:val="index 6"/>
    <w:basedOn w:val="Normal"/>
    <w:next w:val="Normal"/>
    <w:autoRedefine/>
    <w:semiHidden/>
    <w:rsid w:val="005E76C1"/>
    <w:pPr>
      <w:ind w:left="1200" w:hanging="200"/>
    </w:pPr>
  </w:style>
  <w:style w:type="paragraph" w:styleId="Index7">
    <w:name w:val="index 7"/>
    <w:basedOn w:val="Normal"/>
    <w:next w:val="Normal"/>
    <w:autoRedefine/>
    <w:semiHidden/>
    <w:rsid w:val="005E76C1"/>
    <w:pPr>
      <w:ind w:left="1400" w:hanging="200"/>
    </w:pPr>
  </w:style>
  <w:style w:type="paragraph" w:styleId="Index8">
    <w:name w:val="index 8"/>
    <w:basedOn w:val="Normal"/>
    <w:next w:val="Normal"/>
    <w:autoRedefine/>
    <w:semiHidden/>
    <w:rsid w:val="005E76C1"/>
    <w:pPr>
      <w:ind w:left="1600" w:hanging="200"/>
    </w:pPr>
  </w:style>
  <w:style w:type="paragraph" w:styleId="Index9">
    <w:name w:val="index 9"/>
    <w:basedOn w:val="Normal"/>
    <w:next w:val="Normal"/>
    <w:autoRedefine/>
    <w:semiHidden/>
    <w:rsid w:val="005E76C1"/>
    <w:pPr>
      <w:ind w:left="1800" w:hanging="200"/>
    </w:pPr>
  </w:style>
  <w:style w:type="paragraph" w:styleId="IndexHeading">
    <w:name w:val="index heading"/>
    <w:basedOn w:val="Normal"/>
    <w:next w:val="Index1"/>
    <w:semiHidden/>
    <w:rsid w:val="005E76C1"/>
    <w:rPr>
      <w:rFonts w:cs="Arial"/>
      <w:b/>
      <w:bCs/>
    </w:rPr>
  </w:style>
  <w:style w:type="paragraph" w:styleId="MacroText">
    <w:name w:val="macro"/>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paragraph" w:styleId="TableofAuthorities">
    <w:name w:val="table of authorities"/>
    <w:basedOn w:val="Normal"/>
    <w:next w:val="Normal"/>
    <w:semiHidden/>
    <w:rsid w:val="005E76C1"/>
    <w:pPr>
      <w:ind w:left="200" w:hanging="200"/>
    </w:pPr>
  </w:style>
  <w:style w:type="paragraph" w:styleId="TableofFigures">
    <w:name w:val="table of figures"/>
    <w:basedOn w:val="Normal"/>
    <w:next w:val="Normal"/>
    <w:semiHidden/>
    <w:rsid w:val="005E76C1"/>
  </w:style>
  <w:style w:type="paragraph" w:styleId="TOAHeading">
    <w:name w:val="toa heading"/>
    <w:basedOn w:val="Normal"/>
    <w:next w:val="Normal"/>
    <w:semiHidden/>
    <w:rsid w:val="005E76C1"/>
    <w:rPr>
      <w:rFonts w:cs="Arial"/>
      <w:b/>
      <w:bCs/>
      <w:szCs w:val="24"/>
    </w:rPr>
  </w:style>
  <w:style w:type="paragraph" w:styleId="TOC5">
    <w:name w:val="toc 5"/>
    <w:basedOn w:val="Normal"/>
    <w:next w:val="Normal"/>
    <w:autoRedefine/>
    <w:semiHidden/>
    <w:rsid w:val="005E76C1"/>
    <w:pPr>
      <w:ind w:left="800"/>
    </w:pPr>
  </w:style>
  <w:style w:type="paragraph" w:styleId="TOC6">
    <w:name w:val="toc 6"/>
    <w:basedOn w:val="Normal"/>
    <w:next w:val="Normal"/>
    <w:autoRedefine/>
    <w:semiHidden/>
    <w:rsid w:val="005E76C1"/>
    <w:pPr>
      <w:ind w:left="1000"/>
    </w:pPr>
  </w:style>
  <w:style w:type="paragraph" w:styleId="TOC7">
    <w:name w:val="toc 7"/>
    <w:basedOn w:val="Normal"/>
    <w:next w:val="Normal"/>
    <w:autoRedefine/>
    <w:semiHidden/>
    <w:rsid w:val="005E76C1"/>
    <w:pPr>
      <w:ind w:left="1200"/>
    </w:pPr>
  </w:style>
  <w:style w:type="paragraph" w:styleId="TOC8">
    <w:name w:val="toc 8"/>
    <w:basedOn w:val="Normal"/>
    <w:next w:val="Normal"/>
    <w:autoRedefine/>
    <w:semiHidden/>
    <w:rsid w:val="005E76C1"/>
    <w:pPr>
      <w:ind w:left="1400"/>
    </w:pPr>
  </w:style>
  <w:style w:type="paragraph" w:styleId="TOC9">
    <w:name w:val="toc 9"/>
    <w:basedOn w:val="Normal"/>
    <w:next w:val="Normal"/>
    <w:autoRedefine/>
    <w:semiHidden/>
    <w:rsid w:val="005E76C1"/>
    <w:pPr>
      <w:ind w:left="1600"/>
    </w:pPr>
  </w:style>
  <w:style w:type="paragraph" w:customStyle="1" w:styleId="Heading5NotNumbered">
    <w:name w:val="Heading 5 Not Numbered"/>
    <w:basedOn w:val="HeadingBase"/>
    <w:unhideWhenUsed/>
    <w:rsid w:val="00D44D1F"/>
    <w:pPr>
      <w:spacing w:after="120"/>
      <w:outlineLvl w:val="4"/>
    </w:pPr>
    <w:rPr>
      <w:b/>
      <w:i/>
      <w:sz w:val="22"/>
    </w:rPr>
  </w:style>
  <w:style w:type="table" w:customStyle="1" w:styleId="OptionsTable">
    <w:name w:val="Options Table"/>
    <w:basedOn w:val="TableNormal"/>
    <w:rsid w:val="00981231"/>
    <w:tblPr>
      <w:tblStyleRowBandSize w:val="1"/>
      <w:tblBorders>
        <w:insideH w:val="single" w:sz="12" w:space="0" w:color="FFFFFF"/>
        <w:insideV w:val="single" w:sz="12" w:space="0" w:color="FFFFFF"/>
      </w:tblBorders>
    </w:tblPr>
    <w:tcPr>
      <w:shd w:val="clear" w:color="auto" w:fill="FFFFFF"/>
    </w:tcPr>
    <w:tblStylePr w:type="firstRow">
      <w:pPr>
        <w:wordWrap/>
        <w:spacing w:beforeLines="0" w:beforeAutospacing="0" w:afterLines="0" w:afterAutospacing="0" w:line="280" w:lineRule="exact"/>
        <w:contextualSpacing w:val="0"/>
      </w:pPr>
      <w:rPr>
        <w:rFonts w:ascii="Arial" w:hAnsi="Arial"/>
        <w:b/>
        <w:i w:val="0"/>
        <w:color w:val="342E82"/>
        <w:sz w:val="22"/>
      </w:rPr>
      <w:tblPr/>
      <w:tcPr>
        <w:shd w:val="clear" w:color="auto" w:fill="B3B3B3"/>
      </w:tcPr>
    </w:tblStylePr>
    <w:tblStylePr w:type="band1Horz">
      <w:pPr>
        <w:wordWrap/>
        <w:spacing w:beforeLines="0" w:beforeAutospacing="0" w:afterLines="0" w:afterAutospacing="0" w:line="280" w:lineRule="exact"/>
        <w:contextualSpacing w:val="0"/>
      </w:pPr>
      <w:rPr>
        <w:rFonts w:ascii="Arial" w:hAnsi="Arial"/>
        <w:sz w:val="22"/>
      </w:rPr>
      <w:tblPr/>
      <w:tcPr>
        <w:shd w:val="clear" w:color="auto" w:fill="E6E6E6"/>
      </w:tcPr>
    </w:tblStylePr>
    <w:tblStylePr w:type="band2Horz">
      <w:pPr>
        <w:wordWrap/>
        <w:spacing w:beforeLines="0" w:beforeAutospacing="0" w:afterLines="0" w:afterAutospacing="0" w:line="280" w:lineRule="exact"/>
        <w:contextualSpacing w:val="0"/>
      </w:pPr>
      <w:rPr>
        <w:rFonts w:ascii="Arial" w:hAnsi="Arial"/>
        <w:sz w:val="22"/>
      </w:rPr>
      <w:tblPr/>
      <w:tcPr>
        <w:shd w:val="clear" w:color="auto" w:fill="CCCCCC"/>
      </w:tcPr>
    </w:tblStylePr>
  </w:style>
  <w:style w:type="paragraph" w:customStyle="1" w:styleId="Romannumeral">
    <w:name w:val="Roman numeral"/>
    <w:basedOn w:val="Normal"/>
    <w:rsid w:val="002A2C88"/>
    <w:pPr>
      <w:numPr>
        <w:numId w:val="7"/>
      </w:numPr>
    </w:pPr>
  </w:style>
  <w:style w:type="paragraph" w:customStyle="1" w:styleId="OutlineNumbered4">
    <w:name w:val="Outline Numbered 4"/>
    <w:basedOn w:val="Normal"/>
    <w:rsid w:val="00C622C8"/>
    <w:pPr>
      <w:spacing w:line="280" w:lineRule="exact"/>
      <w:jc w:val="both"/>
    </w:pPr>
  </w:style>
  <w:style w:type="paragraph" w:customStyle="1" w:styleId="OutlineNumbered5">
    <w:name w:val="Outline Numbered 5"/>
    <w:basedOn w:val="Normal"/>
    <w:rsid w:val="00C622C8"/>
    <w:pPr>
      <w:numPr>
        <w:ilvl w:val="4"/>
        <w:numId w:val="9"/>
      </w:numPr>
      <w:spacing w:line="280" w:lineRule="exact"/>
      <w:jc w:val="both"/>
    </w:pPr>
  </w:style>
  <w:style w:type="paragraph" w:customStyle="1" w:styleId="Crest">
    <w:name w:val="Crest"/>
    <w:basedOn w:val="Header"/>
    <w:uiPriority w:val="2"/>
    <w:rsid w:val="00F23AEE"/>
    <w:pPr>
      <w:spacing w:after="480"/>
    </w:pPr>
  </w:style>
  <w:style w:type="character" w:customStyle="1" w:styleId="SingleParagraphChar">
    <w:name w:val="Single Paragraph Char"/>
    <w:basedOn w:val="DefaultParagraphFont"/>
    <w:link w:val="SingleParagraph"/>
    <w:rsid w:val="00FE674C"/>
    <w:rPr>
      <w:rFonts w:asciiTheme="minorHAnsi" w:hAnsiTheme="minorHAnsi"/>
      <w:color w:val="000000"/>
      <w:sz w:val="22"/>
    </w:rPr>
  </w:style>
  <w:style w:type="character" w:customStyle="1" w:styleId="Heading5Char">
    <w:name w:val="Heading 5 Char"/>
    <w:basedOn w:val="DefaultParagraphFont"/>
    <w:link w:val="Heading5"/>
    <w:rsid w:val="00157DC2"/>
    <w:rPr>
      <w:rFonts w:ascii="Arial" w:eastAsiaTheme="majorEastAsia" w:hAnsi="Arial" w:cstheme="majorBidi"/>
      <w:b/>
      <w:color w:val="31A7D4" w:themeColor="accent1"/>
      <w:sz w:val="22"/>
    </w:rPr>
  </w:style>
  <w:style w:type="character" w:customStyle="1" w:styleId="Heading4Char">
    <w:name w:val="Heading 4 Char"/>
    <w:basedOn w:val="DefaultParagraphFont"/>
    <w:link w:val="Heading4"/>
    <w:rsid w:val="00157DC2"/>
    <w:rPr>
      <w:rFonts w:ascii="Arial" w:eastAsiaTheme="majorEastAsia" w:hAnsi="Arial" w:cstheme="majorBidi"/>
      <w:b/>
      <w:bCs/>
      <w:iCs/>
      <w:color w:val="31A7D4" w:themeColor="accent1"/>
      <w:sz w:val="26"/>
    </w:rPr>
  </w:style>
  <w:style w:type="character" w:customStyle="1" w:styleId="A5">
    <w:name w:val="A5"/>
    <w:uiPriority w:val="99"/>
    <w:rsid w:val="00240AAC"/>
    <w:rPr>
      <w:rFonts w:cs="Swiss 721 BT"/>
      <w:color w:val="000000"/>
      <w:sz w:val="20"/>
      <w:szCs w:val="20"/>
    </w:rPr>
  </w:style>
  <w:style w:type="character" w:customStyle="1" w:styleId="FooterChar">
    <w:name w:val="Footer Char"/>
    <w:basedOn w:val="DefaultParagraphFont"/>
    <w:link w:val="Footer"/>
    <w:uiPriority w:val="99"/>
    <w:rsid w:val="00157DC2"/>
    <w:rPr>
      <w:rFonts w:ascii="Arial" w:hAnsi="Arial"/>
      <w:color w:val="31A7D4" w:themeColor="accent1"/>
      <w:sz w:val="28"/>
    </w:rPr>
  </w:style>
  <w:style w:type="paragraph" w:customStyle="1" w:styleId="SecurityClassificationFooter">
    <w:name w:val="Security Classification Footer"/>
    <w:link w:val="SecurityClassificationFooterChar"/>
    <w:rsid w:val="00F37E7D"/>
    <w:pPr>
      <w:spacing w:before="60" w:after="240" w:line="276" w:lineRule="auto"/>
      <w:jc w:val="center"/>
    </w:pPr>
    <w:rPr>
      <w:rFonts w:ascii="Arial" w:hAnsi="Arial"/>
      <w:b/>
      <w:caps/>
      <w:color w:val="31A7D4" w:themeColor="accent1"/>
      <w:sz w:val="24"/>
    </w:rPr>
  </w:style>
  <w:style w:type="character" w:customStyle="1" w:styleId="SecurityClassificationFooterChar">
    <w:name w:val="Security Classification Footer Char"/>
    <w:link w:val="SecurityClassificationFooter"/>
    <w:rsid w:val="00F37E7D"/>
    <w:rPr>
      <w:rFonts w:ascii="Arial" w:hAnsi="Arial"/>
      <w:b/>
      <w:caps/>
      <w:color w:val="31A7D4" w:themeColor="accent1"/>
      <w:sz w:val="24"/>
    </w:rPr>
  </w:style>
  <w:style w:type="paragraph" w:customStyle="1" w:styleId="MinuteNumber">
    <w:name w:val="Minute Number"/>
    <w:basedOn w:val="Header"/>
    <w:uiPriority w:val="2"/>
    <w:rsid w:val="00A61250"/>
    <w:pPr>
      <w:pBdr>
        <w:bottom w:val="double" w:sz="6" w:space="6" w:color="auto"/>
      </w:pBdr>
      <w:tabs>
        <w:tab w:val="right" w:pos="8222"/>
      </w:tabs>
      <w:spacing w:before="120" w:after="120"/>
    </w:pPr>
    <w:rPr>
      <w:rFonts w:ascii="Times New Roman" w:hAnsi="Times New Roman"/>
      <w:color w:val="auto"/>
      <w:kern w:val="16"/>
      <w:sz w:val="24"/>
      <w:szCs w:val="24"/>
    </w:rPr>
  </w:style>
  <w:style w:type="paragraph" w:customStyle="1" w:styleId="QABoxHeading">
    <w:name w:val="QA Box Heading"/>
    <w:basedOn w:val="BoxHeading"/>
    <w:unhideWhenUsed/>
    <w:rsid w:val="00D44D1F"/>
    <w:pPr>
      <w:spacing w:before="120"/>
    </w:pPr>
    <w:rPr>
      <w:b w:val="0"/>
      <w:sz w:val="24"/>
    </w:rPr>
  </w:style>
  <w:style w:type="paragraph" w:customStyle="1" w:styleId="QAText">
    <w:name w:val="QA Text"/>
    <w:basedOn w:val="Normal"/>
    <w:rsid w:val="00E22E94"/>
    <w:pPr>
      <w:spacing w:after="120"/>
    </w:pPr>
  </w:style>
  <w:style w:type="paragraph" w:customStyle="1" w:styleId="Copyrightheadings">
    <w:name w:val="Copyright headings"/>
    <w:basedOn w:val="HeadingBase"/>
    <w:uiPriority w:val="2"/>
    <w:rsid w:val="002D2743"/>
    <w:pPr>
      <w:spacing w:after="80"/>
    </w:pPr>
    <w:rPr>
      <w:b/>
      <w:color w:val="000000" w:themeColor="text1"/>
      <w:sz w:val="22"/>
    </w:rPr>
  </w:style>
  <w:style w:type="paragraph" w:customStyle="1" w:styleId="Quotes">
    <w:name w:val="Quotes"/>
    <w:basedOn w:val="Normal"/>
    <w:qFormat/>
    <w:rsid w:val="00E07793"/>
    <w:pPr>
      <w:spacing w:after="120"/>
      <w:ind w:left="567" w:right="423"/>
    </w:pPr>
    <w:rPr>
      <w:color w:val="595959" w:themeColor="text1" w:themeTint="A6"/>
    </w:rPr>
  </w:style>
  <w:style w:type="paragraph" w:customStyle="1" w:styleId="Keymessageheading">
    <w:name w:val="Key message heading"/>
    <w:basedOn w:val="RecommendationHeading"/>
    <w:uiPriority w:val="1"/>
    <w:qFormat/>
    <w:rsid w:val="009421D7"/>
  </w:style>
  <w:style w:type="paragraph" w:customStyle="1" w:styleId="Keyfindingtext">
    <w:name w:val="Key finding text"/>
    <w:basedOn w:val="BoxText"/>
    <w:uiPriority w:val="1"/>
    <w:qFormat/>
    <w:rsid w:val="00F37E7D"/>
    <w:pPr>
      <w:numPr>
        <w:numId w:val="16"/>
      </w:numPr>
      <w:spacing w:line="260" w:lineRule="exact"/>
      <w:ind w:left="357" w:hanging="357"/>
      <w:jc w:val="both"/>
    </w:pPr>
  </w:style>
  <w:style w:type="paragraph" w:customStyle="1" w:styleId="Casestudyboxheading">
    <w:name w:val="Case study box heading"/>
    <w:basedOn w:val="RecommendationHeading"/>
    <w:qFormat/>
    <w:rsid w:val="00944C23"/>
    <w:pPr>
      <w:numPr>
        <w:ilvl w:val="1"/>
        <w:numId w:val="14"/>
      </w:numPr>
    </w:pPr>
  </w:style>
  <w:style w:type="paragraph" w:customStyle="1" w:styleId="Casestudyboxtext">
    <w:name w:val="Case study box text"/>
    <w:basedOn w:val="BoxText"/>
    <w:qFormat/>
    <w:rsid w:val="0052543A"/>
  </w:style>
  <w:style w:type="paragraph" w:styleId="ListParagraph">
    <w:name w:val="List Paragraph"/>
    <w:basedOn w:val="Normal"/>
    <w:uiPriority w:val="34"/>
    <w:unhideWhenUsed/>
    <w:qFormat/>
    <w:rsid w:val="00157DC2"/>
    <w:pPr>
      <w:ind w:left="720"/>
      <w:contextualSpacing/>
    </w:pPr>
  </w:style>
  <w:style w:type="paragraph" w:customStyle="1" w:styleId="Copyrightheading">
    <w:name w:val="Copyright heading"/>
    <w:basedOn w:val="Normal"/>
    <w:rsid w:val="00424549"/>
    <w:pPr>
      <w:spacing w:before="200" w:after="120"/>
    </w:pPr>
    <w:rPr>
      <w:rFonts w:eastAsiaTheme="minorHAnsi" w:cstheme="minorBidi"/>
      <w:b/>
      <w:szCs w:val="22"/>
      <w:lang w:eastAsia="en-US"/>
    </w:rPr>
  </w:style>
  <w:style w:type="character" w:styleId="PageNumber">
    <w:name w:val="page number"/>
    <w:basedOn w:val="DefaultParagraphFont"/>
    <w:rsid w:val="00057308"/>
  </w:style>
  <w:style w:type="numbering" w:customStyle="1" w:styleId="BulletedList">
    <w:name w:val="Bulleted List"/>
    <w:uiPriority w:val="99"/>
    <w:rsid w:val="001F27A9"/>
    <w:pPr>
      <w:numPr>
        <w:numId w:val="11"/>
      </w:numPr>
    </w:pPr>
  </w:style>
  <w:style w:type="table" w:customStyle="1" w:styleId="TableGrid2">
    <w:name w:val="Table Grid2"/>
    <w:basedOn w:val="TableNormal"/>
    <w:next w:val="TableGrid"/>
    <w:uiPriority w:val="59"/>
    <w:rsid w:val="001F27A9"/>
    <w:pPr>
      <w:spacing w:after="240" w:line="260" w:lineRule="exact"/>
      <w:jc w:val="both"/>
    </w:pPr>
    <w:tblPr/>
    <w:tcPr>
      <w:shd w:val="clear" w:color="auto" w:fill="E6E6E6"/>
    </w:tcPr>
  </w:style>
  <w:style w:type="character" w:customStyle="1" w:styleId="FootnoteTextChar">
    <w:name w:val="Footnote Text Char"/>
    <w:basedOn w:val="DefaultParagraphFont"/>
    <w:link w:val="FootnoteText"/>
    <w:uiPriority w:val="99"/>
    <w:rsid w:val="00157DC2"/>
    <w:rPr>
      <w:rFonts w:ascii="Arial" w:hAnsi="Arial"/>
      <w:sz w:val="18"/>
    </w:rPr>
  </w:style>
  <w:style w:type="paragraph" w:customStyle="1" w:styleId="SecurityClassificationHeader">
    <w:name w:val="Security Classification Header"/>
    <w:link w:val="SecurityClassificationHeaderChar"/>
    <w:rsid w:val="00DA39CC"/>
    <w:pPr>
      <w:spacing w:before="60" w:after="240"/>
      <w:jc w:val="center"/>
    </w:pPr>
    <w:rPr>
      <w:rFonts w:ascii="Calibri" w:hAnsi="Calibri"/>
      <w:b/>
      <w:caps/>
      <w:color w:val="31A7D4" w:themeColor="accent1"/>
      <w:sz w:val="24"/>
    </w:rPr>
  </w:style>
  <w:style w:type="character" w:customStyle="1" w:styleId="HeadingBaseChar">
    <w:name w:val="Heading Base Char"/>
    <w:basedOn w:val="DefaultParagraphFont"/>
    <w:link w:val="HeadingBase"/>
    <w:rsid w:val="00DA39CC"/>
    <w:rPr>
      <w:rFonts w:ascii="Calibri" w:hAnsi="Calibri"/>
      <w:color w:val="31A7D4" w:themeColor="accent1"/>
    </w:rPr>
  </w:style>
  <w:style w:type="character" w:customStyle="1" w:styleId="HeaderChar">
    <w:name w:val="Header Char"/>
    <w:basedOn w:val="DefaultParagraphFont"/>
    <w:link w:val="Header"/>
    <w:uiPriority w:val="99"/>
    <w:rsid w:val="00157DC2"/>
    <w:rPr>
      <w:rFonts w:ascii="Arial" w:hAnsi="Arial"/>
      <w:color w:val="636363" w:themeColor="accent2"/>
      <w:sz w:val="22"/>
    </w:rPr>
  </w:style>
  <w:style w:type="character" w:customStyle="1" w:styleId="HeaderOddChar">
    <w:name w:val="Header Odd Char"/>
    <w:basedOn w:val="HeaderChar"/>
    <w:link w:val="HeaderOdd"/>
    <w:rsid w:val="00DA39CC"/>
    <w:rPr>
      <w:rFonts w:ascii="Calibri" w:hAnsi="Calibri"/>
      <w:color w:val="31A7D4" w:themeColor="accent1"/>
      <w:sz w:val="18"/>
    </w:rPr>
  </w:style>
  <w:style w:type="character" w:customStyle="1" w:styleId="SecurityClassificationHeaderChar">
    <w:name w:val="Security Classification Header Char"/>
    <w:basedOn w:val="HeaderOddChar"/>
    <w:link w:val="SecurityClassificationHeader"/>
    <w:rsid w:val="00DA39CC"/>
    <w:rPr>
      <w:rFonts w:ascii="Calibri" w:hAnsi="Calibri"/>
      <w:b/>
      <w:caps/>
      <w:color w:val="31A7D4" w:themeColor="accent1"/>
      <w:sz w:val="24"/>
    </w:rPr>
  </w:style>
  <w:style w:type="paragraph" w:customStyle="1" w:styleId="DLMSecurityHeader">
    <w:name w:val="DLM Security Header"/>
    <w:link w:val="DLMSecurityHeaderChar"/>
    <w:rsid w:val="00DA39CC"/>
    <w:pPr>
      <w:spacing w:before="60" w:after="240"/>
      <w:jc w:val="center"/>
    </w:pPr>
    <w:rPr>
      <w:rFonts w:ascii="Calibri" w:hAnsi="Calibri"/>
      <w:b/>
      <w:caps/>
      <w:color w:val="31A7D4" w:themeColor="accent1"/>
      <w:sz w:val="24"/>
    </w:rPr>
  </w:style>
  <w:style w:type="character" w:customStyle="1" w:styleId="DLMSecurityHeaderChar">
    <w:name w:val="DLM Security Header Char"/>
    <w:basedOn w:val="HeaderOddChar"/>
    <w:link w:val="DLMSecurityHeader"/>
    <w:rsid w:val="00DA39CC"/>
    <w:rPr>
      <w:rFonts w:ascii="Calibri" w:hAnsi="Calibri"/>
      <w:b/>
      <w:caps/>
      <w:color w:val="31A7D4" w:themeColor="accent1"/>
      <w:sz w:val="24"/>
    </w:rPr>
  </w:style>
  <w:style w:type="paragraph" w:customStyle="1" w:styleId="DLMSecurityFooter">
    <w:name w:val="DLM Security Footer"/>
    <w:link w:val="DLMSecurityFooterChar"/>
    <w:rsid w:val="00DA39CC"/>
    <w:pPr>
      <w:spacing w:before="240" w:after="60"/>
      <w:jc w:val="center"/>
    </w:pPr>
    <w:rPr>
      <w:rFonts w:ascii="Calibri" w:hAnsi="Calibri"/>
      <w:b/>
      <w:caps/>
      <w:color w:val="31A7D4" w:themeColor="accent1"/>
      <w:sz w:val="24"/>
    </w:rPr>
  </w:style>
  <w:style w:type="character" w:customStyle="1" w:styleId="DLMSecurityFooterChar">
    <w:name w:val="DLM Security Footer Char"/>
    <w:basedOn w:val="HeaderOddChar"/>
    <w:link w:val="DLMSecurityFooter"/>
    <w:rsid w:val="00DA39CC"/>
    <w:rPr>
      <w:rFonts w:ascii="Calibri" w:hAnsi="Calibri"/>
      <w:b/>
      <w:caps/>
      <w:color w:val="31A7D4" w:themeColor="accent1"/>
      <w:sz w:val="24"/>
    </w:rPr>
  </w:style>
  <w:style w:type="paragraph" w:customStyle="1" w:styleId="Keyfindingbullet">
    <w:name w:val="Key finding bullet"/>
    <w:basedOn w:val="Keyfindingtext"/>
    <w:uiPriority w:val="1"/>
    <w:qFormat/>
    <w:rsid w:val="00C06409"/>
    <w:pPr>
      <w:numPr>
        <w:numId w:val="12"/>
      </w:numPr>
      <w:ind w:left="425" w:hanging="425"/>
    </w:pPr>
    <w:rPr>
      <w:rFonts w:eastAsiaTheme="minorHAnsi"/>
    </w:rPr>
  </w:style>
  <w:style w:type="paragraph" w:customStyle="1" w:styleId="Questionheading">
    <w:name w:val="Question heading"/>
    <w:basedOn w:val="Normal"/>
    <w:qFormat/>
    <w:rsid w:val="00157DC2"/>
    <w:pPr>
      <w:spacing w:before="80" w:line="240" w:lineRule="auto"/>
    </w:pPr>
    <w:rPr>
      <w:b/>
      <w:color w:val="31A7D4" w:themeColor="accent1"/>
      <w:sz w:val="28"/>
      <w:szCs w:val="28"/>
    </w:rPr>
  </w:style>
  <w:style w:type="paragraph" w:customStyle="1" w:styleId="Questiontext">
    <w:name w:val="Question text"/>
    <w:basedOn w:val="ListParagraph"/>
    <w:qFormat/>
    <w:rsid w:val="00157DC2"/>
    <w:pPr>
      <w:numPr>
        <w:numId w:val="25"/>
      </w:numPr>
      <w:spacing w:after="120" w:line="240" w:lineRule="auto"/>
      <w:contextualSpacing w:val="0"/>
    </w:pPr>
    <w:rPr>
      <w:color w:val="000000" w:themeColor="text1"/>
    </w:rPr>
  </w:style>
  <w:style w:type="paragraph" w:customStyle="1" w:styleId="Source">
    <w:name w:val="Source"/>
    <w:basedOn w:val="Normal"/>
    <w:uiPriority w:val="1"/>
    <w:qFormat/>
    <w:rsid w:val="00157DC2"/>
    <w:pPr>
      <w:spacing w:before="20" w:after="0" w:line="240" w:lineRule="auto"/>
    </w:pPr>
    <w:rPr>
      <w:color w:val="000000" w:themeColor="text1"/>
      <w:sz w:val="20"/>
    </w:rPr>
  </w:style>
  <w:style w:type="paragraph" w:customStyle="1" w:styleId="Overviewheading">
    <w:name w:val="Overview heading"/>
    <w:basedOn w:val="Heading2"/>
    <w:qFormat/>
    <w:rsid w:val="00157DC2"/>
    <w:pPr>
      <w:numPr>
        <w:numId w:val="0"/>
      </w:numPr>
      <w:spacing w:after="240"/>
    </w:pPr>
  </w:style>
  <w:style w:type="paragraph" w:styleId="NormalWeb">
    <w:name w:val="Normal (Web)"/>
    <w:basedOn w:val="Normal"/>
    <w:semiHidden/>
    <w:rsid w:val="00AC472D"/>
    <w:rPr>
      <w:rFonts w:ascii="Times New Roman" w:hAnsi="Times New Roman"/>
      <w:szCs w:val="24"/>
    </w:rPr>
  </w:style>
  <w:style w:type="paragraph" w:styleId="Revision">
    <w:name w:val="Revision"/>
    <w:hidden/>
    <w:uiPriority w:val="99"/>
    <w:semiHidden/>
    <w:rsid w:val="00FA510D"/>
    <w:rPr>
      <w:rFonts w:asciiTheme="minorHAnsi" w:hAnsiTheme="minorHAnsi"/>
      <w:color w:val="000000" w:themeColor="text1"/>
      <w:sz w:val="24"/>
    </w:rPr>
  </w:style>
  <w:style w:type="character" w:customStyle="1" w:styleId="BulletChar">
    <w:name w:val="Bullet Char"/>
    <w:basedOn w:val="DefaultParagraphFont"/>
    <w:link w:val="Bullet"/>
    <w:rsid w:val="00875144"/>
    <w:rPr>
      <w:rFonts w:asciiTheme="minorHAnsi" w:hAnsiTheme="minorHAnsi"/>
      <w:color w:val="000000" w:themeColor="text1"/>
      <w:sz w:val="24"/>
    </w:rPr>
  </w:style>
  <w:style w:type="character" w:customStyle="1" w:styleId="CommentTextChar">
    <w:name w:val="Comment Text Char"/>
    <w:basedOn w:val="DefaultParagraphFont"/>
    <w:link w:val="CommentText"/>
    <w:uiPriority w:val="99"/>
    <w:semiHidden/>
    <w:rsid w:val="00FE171A"/>
    <w:rPr>
      <w:rFonts w:asciiTheme="minorHAnsi" w:hAnsiTheme="minorHAnsi"/>
      <w:color w:val="000000" w:themeColor="text1"/>
      <w:sz w:val="24"/>
    </w:rPr>
  </w:style>
  <w:style w:type="paragraph" w:customStyle="1" w:styleId="OverviewText">
    <w:name w:val="Overview Text"/>
    <w:basedOn w:val="Keyfindingtext"/>
    <w:uiPriority w:val="1"/>
    <w:qFormat/>
    <w:rsid w:val="001C2E60"/>
    <w:pPr>
      <w:numPr>
        <w:numId w:val="0"/>
      </w:numPr>
      <w:spacing w:after="240"/>
    </w:pPr>
  </w:style>
  <w:style w:type="character" w:customStyle="1" w:styleId="Heading1Char">
    <w:name w:val="Heading 1 Char"/>
    <w:basedOn w:val="DefaultParagraphFont"/>
    <w:link w:val="Heading1"/>
    <w:rsid w:val="00157DC2"/>
    <w:rPr>
      <w:rFonts w:ascii="Arial" w:hAnsi="Arial" w:cs="Arial"/>
      <w:b/>
      <w:bCs/>
      <w:color w:val="000000" w:themeColor="text1"/>
      <w:kern w:val="32"/>
      <w:sz w:val="66"/>
      <w:szCs w:val="36"/>
    </w:rPr>
  </w:style>
  <w:style w:type="character" w:customStyle="1" w:styleId="Heading2Char">
    <w:name w:val="Heading 2 Char"/>
    <w:basedOn w:val="DefaultParagraphFont"/>
    <w:link w:val="Heading2"/>
    <w:rsid w:val="000D0ADB"/>
    <w:rPr>
      <w:rFonts w:ascii="Arial" w:hAnsi="Arial" w:cs="Arial"/>
      <w:b/>
      <w:bCs/>
      <w:color w:val="000000" w:themeColor="text1"/>
      <w:kern w:val="32"/>
      <w:sz w:val="40"/>
      <w:szCs w:val="36"/>
    </w:rPr>
  </w:style>
  <w:style w:type="paragraph" w:styleId="Title">
    <w:name w:val="Title"/>
    <w:basedOn w:val="Normal"/>
    <w:next w:val="Normal"/>
    <w:link w:val="TitleChar"/>
    <w:uiPriority w:val="10"/>
    <w:rsid w:val="00157DC2"/>
    <w:pPr>
      <w:pBdr>
        <w:bottom w:val="single" w:sz="8" w:space="4" w:color="31A7D4" w:themeColor="accent1"/>
      </w:pBdr>
      <w:spacing w:after="300"/>
      <w:contextualSpacing/>
    </w:pPr>
    <w:rPr>
      <w:rFonts w:ascii="Calibri" w:eastAsiaTheme="majorEastAsia" w:hAnsi="Calibri" w:cstheme="majorBidi"/>
      <w:color w:val="217DA1" w:themeColor="text2" w:themeShade="BF"/>
      <w:spacing w:val="5"/>
      <w:kern w:val="28"/>
      <w:sz w:val="52"/>
      <w:szCs w:val="52"/>
    </w:rPr>
  </w:style>
  <w:style w:type="character" w:customStyle="1" w:styleId="TitleChar">
    <w:name w:val="Title Char"/>
    <w:basedOn w:val="DefaultParagraphFont"/>
    <w:link w:val="Title"/>
    <w:uiPriority w:val="10"/>
    <w:rsid w:val="00157DC2"/>
    <w:rPr>
      <w:rFonts w:ascii="Calibri" w:eastAsiaTheme="majorEastAsia" w:hAnsi="Calibri" w:cstheme="majorBidi"/>
      <w:color w:val="217DA1" w:themeColor="text2" w:themeShade="BF"/>
      <w:spacing w:val="5"/>
      <w:kern w:val="28"/>
      <w:sz w:val="52"/>
      <w:szCs w:val="52"/>
    </w:rPr>
  </w:style>
  <w:style w:type="paragraph" w:customStyle="1" w:styleId="Bullets">
    <w:name w:val="Bullets"/>
    <w:basedOn w:val="ListParagraph"/>
    <w:qFormat/>
    <w:rsid w:val="00157DC2"/>
    <w:pPr>
      <w:numPr>
        <w:numId w:val="24"/>
      </w:numPr>
      <w:spacing w:after="120"/>
      <w:ind w:left="567" w:hanging="567"/>
      <w:contextualSpacing w:val="0"/>
    </w:pPr>
  </w:style>
  <w:style w:type="paragraph" w:styleId="Quote">
    <w:name w:val="Quote"/>
    <w:basedOn w:val="Normal"/>
    <w:next w:val="Normal"/>
    <w:link w:val="QuoteChar"/>
    <w:uiPriority w:val="29"/>
    <w:qFormat/>
    <w:rsid w:val="00157DC2"/>
    <w:pPr>
      <w:spacing w:before="120"/>
      <w:ind w:left="567"/>
    </w:pPr>
    <w:rPr>
      <w:iCs/>
      <w:color w:val="000000" w:themeColor="text1"/>
    </w:rPr>
  </w:style>
  <w:style w:type="character" w:customStyle="1" w:styleId="QuoteChar">
    <w:name w:val="Quote Char"/>
    <w:basedOn w:val="DefaultParagraphFont"/>
    <w:link w:val="Quote"/>
    <w:uiPriority w:val="29"/>
    <w:rsid w:val="00157DC2"/>
    <w:rPr>
      <w:rFonts w:ascii="Arial" w:hAnsi="Arial"/>
      <w:iCs/>
      <w:color w:val="000000" w:themeColor="text1"/>
      <w:sz w:val="22"/>
    </w:rPr>
  </w:style>
  <w:style w:type="character" w:customStyle="1" w:styleId="Heading3Char">
    <w:name w:val="Heading 3 Char"/>
    <w:basedOn w:val="DefaultParagraphFont"/>
    <w:link w:val="Heading3"/>
    <w:rsid w:val="00157DC2"/>
    <w:rPr>
      <w:rFonts w:ascii="Arial" w:eastAsiaTheme="majorEastAsia" w:hAnsi="Arial" w:cstheme="majorBidi"/>
      <w:b/>
      <w:bCs/>
      <w:color w:val="31A7D4" w:themeColor="accent1"/>
      <w:sz w:val="30"/>
    </w:rPr>
  </w:style>
  <w:style w:type="paragraph" w:customStyle="1" w:styleId="Overviewtext0">
    <w:name w:val="Overview text"/>
    <w:basedOn w:val="Normal"/>
    <w:qFormat/>
    <w:rsid w:val="00157DC2"/>
    <w:rPr>
      <w:sz w:val="32"/>
      <w:szCs w:val="32"/>
    </w:rPr>
  </w:style>
  <w:style w:type="paragraph" w:customStyle="1" w:styleId="Singleparagraph0">
    <w:name w:val="Single paragraph"/>
    <w:basedOn w:val="Normal"/>
    <w:qFormat/>
    <w:rsid w:val="00157DC2"/>
    <w:pPr>
      <w:spacing w:after="0" w:line="240" w:lineRule="auto"/>
    </w:pPr>
  </w:style>
  <w:style w:type="paragraph" w:customStyle="1" w:styleId="Overviewheading2">
    <w:name w:val="Overview heading 2"/>
    <w:basedOn w:val="Heading2"/>
    <w:qFormat/>
    <w:rsid w:val="00157DC2"/>
    <w:pPr>
      <w:numPr>
        <w:numId w:val="0"/>
      </w:numPr>
      <w:pBdr>
        <w:top w:val="none" w:sz="0" w:space="0" w:color="auto"/>
        <w:bottom w:val="none" w:sz="0" w:space="0" w:color="auto"/>
      </w:pBdr>
      <w:spacing w:after="120"/>
    </w:pPr>
    <w:rPr>
      <w:color w:val="31A7D4" w:themeColor="accent1"/>
      <w:sz w:val="30"/>
      <w:szCs w:val="32"/>
    </w:rPr>
  </w:style>
  <w:style w:type="character" w:customStyle="1" w:styleId="BalloonTextChar">
    <w:name w:val="Balloon Text Char"/>
    <w:basedOn w:val="DefaultParagraphFont"/>
    <w:link w:val="BalloonText"/>
    <w:uiPriority w:val="99"/>
    <w:semiHidden/>
    <w:rsid w:val="00157DC2"/>
    <w:rPr>
      <w:rFonts w:ascii="Tahoma" w:hAnsi="Tahoma" w:cs="Tahoma"/>
      <w:sz w:val="16"/>
      <w:szCs w:val="16"/>
    </w:rPr>
  </w:style>
  <w:style w:type="paragraph" w:customStyle="1" w:styleId="ChartandTableNote">
    <w:name w:val="Chart and Table Note"/>
    <w:next w:val="Normal"/>
    <w:rsid w:val="00157DC2"/>
    <w:rPr>
      <w:rFonts w:ascii="Arial" w:hAnsi="Arial"/>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460">
      <w:bodyDiv w:val="1"/>
      <w:marLeft w:val="0"/>
      <w:marRight w:val="0"/>
      <w:marTop w:val="0"/>
      <w:marBottom w:val="0"/>
      <w:divBdr>
        <w:top w:val="none" w:sz="0" w:space="0" w:color="auto"/>
        <w:left w:val="none" w:sz="0" w:space="0" w:color="auto"/>
        <w:bottom w:val="none" w:sz="0" w:space="0" w:color="auto"/>
        <w:right w:val="none" w:sz="0" w:space="0" w:color="auto"/>
      </w:divBdr>
    </w:div>
    <w:div w:id="712845222">
      <w:bodyDiv w:val="1"/>
      <w:marLeft w:val="0"/>
      <w:marRight w:val="0"/>
      <w:marTop w:val="0"/>
      <w:marBottom w:val="0"/>
      <w:divBdr>
        <w:top w:val="none" w:sz="0" w:space="0" w:color="auto"/>
        <w:left w:val="none" w:sz="0" w:space="0" w:color="auto"/>
        <w:bottom w:val="none" w:sz="0" w:space="0" w:color="auto"/>
        <w:right w:val="none" w:sz="0" w:space="0" w:color="auto"/>
      </w:divBdr>
    </w:div>
    <w:div w:id="801078379">
      <w:bodyDiv w:val="1"/>
      <w:marLeft w:val="0"/>
      <w:marRight w:val="0"/>
      <w:marTop w:val="0"/>
      <w:marBottom w:val="0"/>
      <w:divBdr>
        <w:top w:val="none" w:sz="0" w:space="0" w:color="auto"/>
        <w:left w:val="none" w:sz="0" w:space="0" w:color="auto"/>
        <w:bottom w:val="none" w:sz="0" w:space="0" w:color="auto"/>
        <w:right w:val="none" w:sz="0" w:space="0" w:color="auto"/>
      </w:divBdr>
    </w:div>
    <w:div w:id="119349448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hyperlink" Target="http://ukdataservice.ac.uk/help/get-in-touch.aspx" TargetMode="External"/><Relationship Id="rId39" Type="http://schemas.openxmlformats.org/officeDocument/2006/relationships/oleObject" Target="http://tweb/sites/rg/project/twptf/twp/20.%20Issues%20Paper/Issues%20Paper%20soft%20close/Charts/02.%20Australias%20tax%20system/2-6%20Composition%20of%20Commonwealth%20taxes%20over%20time.xlsx!Charts!%5b2-6%20Composition%20of%20Commonwealth%20taxes%20over%20time.xlsx%5dCharts%20Chart%203" TargetMode="External"/><Relationship Id="rId21" Type="http://schemas.openxmlformats.org/officeDocument/2006/relationships/hyperlink" Target="http://ukdataservice.ac.uk/help/get-in-touch.aspx" TargetMode="External"/><Relationship Id="rId34" Type="http://schemas.openxmlformats.org/officeDocument/2006/relationships/image" Target="media/image7.emf"/><Relationship Id="rId42" Type="http://schemas.openxmlformats.org/officeDocument/2006/relationships/oleObject" Target="http://tweb/sites/rg/project/twptf/twp/20.%20Issues%20Paper/Issues%20Paper%20soft%20close/Charts/02.%20Australias%20tax%20system/2-7%20Increase%20in%20taxpayers%20in%20each%20tax%20bracket.xlsx!A4%20Chart!%5b2-7%20Increase%20in%20taxpayers%20in%20each%20tax%20bracket.xlsx%5dA4%20Chart%20Chart%201" TargetMode="External"/><Relationship Id="rId47" Type="http://schemas.openxmlformats.org/officeDocument/2006/relationships/hyperlink" Target="http://www.oecd.org/ctp/taxpolicy/Table%20II.1May2014.xlsx" TargetMode="External"/><Relationship Id="rId50" Type="http://schemas.openxmlformats.org/officeDocument/2006/relationships/hyperlink" Target="http://www.lib.uwo.ca/files/business/KPMGCorporateTaxRateSurvey.pdf" TargetMode="External"/><Relationship Id="rId55" Type="http://schemas.openxmlformats.org/officeDocument/2006/relationships/oleObject" Target="http://tweb/sites/rg/project/twptf/twp/20.%20Issues%20Paper/Issues%20Paper%20soft%20close/Charts/02.%20Australias%20tax%20system/2-11%20Average%20tax%20wedge%20progression%20OECD%20countries%202013.xlsx!Chart!%5b2-11%20Average%20tax%20wedge%20progression%20OECD%20countries%202013.xlsx%5dChart%20Chart%207" TargetMode="External"/><Relationship Id="rId63"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http://tweb/sites/rg/project/twptf/twp/20.%20Issues%20Paper/Issues%20Paper%20soft%20close/Charts/02.%20Australias%20tax%20system/2-2%20Tax%20revenue%20as%20a%20percentage%20of%20GDP.xlsx!Chart!%5b2-2%20Tax%20revenue%20as%20a%20percentage%20of%20GDP.xlsx%5dChart%20Chart%203" TargetMode="External"/><Relationship Id="rId20" Type="http://schemas.openxmlformats.org/officeDocument/2006/relationships/hyperlink" Target="http://elibrarydata.imf.org" TargetMode="External"/><Relationship Id="rId29" Type="http://schemas.openxmlformats.org/officeDocument/2006/relationships/oleObject" Target="http://tweb/sites/rg/project/twptf/twp/20.%20Issues%20Paper/Issues%20Paper%20soft%20close/Charts/02.%20Australias%20tax%20system/2-5%20Consumption%20tax%20as%20share%20of%20total%20taxation.xlsx!Chart!%5b2-5%20Consumption%20tax%20as%20share%20of%20total%20taxation.xlsx%5dChart%20Chart%202" TargetMode="External"/><Relationship Id="rId41" Type="http://schemas.openxmlformats.org/officeDocument/2006/relationships/image" Target="media/image10.emf"/><Relationship Id="rId54" Type="http://schemas.openxmlformats.org/officeDocument/2006/relationships/image" Target="media/image15.e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http://tweb/sites/rg/project/twptf/twp/20.%20Issues%20Paper/Issues%20Paper%20soft%20close/Charts/02.%20Australias%20tax%20system/2-4%20Direct%20taxes%20as%20share%20of%20total%20taxation.xlsx!Chart!%5b2-4%20Direct%20taxes%20as%20share%20of%20total%20taxation.xlsx%5dChart%20Chart%201" TargetMode="External"/><Relationship Id="rId32" Type="http://schemas.openxmlformats.org/officeDocument/2006/relationships/image" Target="media/image6.emf"/><Relationship Id="rId37" Type="http://schemas.openxmlformats.org/officeDocument/2006/relationships/oleObject" Target="http://tweb/sites/rg/project/twptf/twp/20.%20Issues%20Paper/Issues%20Paper%20soft%20close/Charts/02.%20Australias%20tax%20system/2-6%20Composition%20of%20Commonwealth%20taxes%20over%20time.xlsx!Charts!%5b2-6%20Composition%20of%20Commonwealth%20taxes%20over%20time.xlsx%5dCharts%20Chart%202" TargetMode="External"/><Relationship Id="rId40" Type="http://schemas.openxmlformats.org/officeDocument/2006/relationships/hyperlink" Target="http://budget.gov.au/2014-15/content/bp1/html/bp1_bst5-06.htm" TargetMode="External"/><Relationship Id="rId45" Type="http://schemas.openxmlformats.org/officeDocument/2006/relationships/image" Target="media/image12.emf"/><Relationship Id="rId53" Type="http://schemas.openxmlformats.org/officeDocument/2006/relationships/oleObject" Target="http://tweb/sites/rg/project/twptf/twp/20.%20Issues%20Paper/Issues%20Paper%20soft%20close/Charts/02.%20Australias%20tax%20system/2-11%20Average%20tax%20wedge%20progression%20OECD%20countries%202013.xlsx!Chart!%5b2-11%20Average%20tax%20wedge%20progression%20OECD%20countries%202013.xlsx%5dChart%20Chart%201"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image" Target="media/image5.emf"/><Relationship Id="rId36" Type="http://schemas.openxmlformats.org/officeDocument/2006/relationships/image" Target="media/image8.emf"/><Relationship Id="rId49" Type="http://schemas.openxmlformats.org/officeDocument/2006/relationships/hyperlink" Target="http://www.kpmg.com/CN/en/IssuesAndInsights/ArticlesPublications/Documents/corptaxrate0707.pdf" TargetMode="External"/><Relationship Id="rId57" Type="http://schemas.openxmlformats.org/officeDocument/2006/relationships/hyperlink" Target="http://www.investinganswers.com/financial-dictionary/tax-center/taxes-4567" TargetMode="External"/><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http://tweb/sites/rg/project/twptf/twp/20.%20Issues%20Paper/Issues%20Paper%20soft%20close/Charts/02.%20Australias%20tax%20system/2-3%20Income%20as%20share%20of%20total%20taxation.xlsx!Chart!%5b2-3%20Income%20as%20share%20of%20total%20taxation.xlsx%5dChart%20Chart%206" TargetMode="External"/><Relationship Id="rId31" Type="http://schemas.openxmlformats.org/officeDocument/2006/relationships/hyperlink" Target="http://economicoutlook.cmie.com" TargetMode="External"/><Relationship Id="rId44" Type="http://schemas.openxmlformats.org/officeDocument/2006/relationships/oleObject" Target="http://tweb/sites/rg/project/twptf/twp/20.%20Issues%20Paper/Issues%20Paper%20soft%20close/Charts/02.%20Australias%20tax%20system/2-7%20Personal%20income%20tax%20rates%20and%20bracket%20creep.xlsx!Chart!%5b2-7%20Personal%20income%20tax%20rates%20and%20bracket%20creep.xlsx%5dChart%20Chart%201" TargetMode="External"/><Relationship Id="rId52" Type="http://schemas.openxmlformats.org/officeDocument/2006/relationships/image" Target="media/image14.e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http://tweb/sites/rg/project/twptf/twp/20.%20Issues%20Paper/Issues%20Paper%20soft%20close/Charts/02.%20Australias%20tax%20system/2-1%20Commonwealth%20and%20State%20and%20local%20taxes.xlsx!Chart!%5b2-1%20Commonwealth%20and%20State%20and%20local%20taxes.xlsx%5dChart%20Chart%202" TargetMode="External"/><Relationship Id="rId22" Type="http://schemas.openxmlformats.org/officeDocument/2006/relationships/hyperlink" Target="http://economicoutlook.cmie.com" TargetMode="External"/><Relationship Id="rId27" Type="http://schemas.openxmlformats.org/officeDocument/2006/relationships/hyperlink" Target="http://economicoutlook.cmie.com" TargetMode="External"/><Relationship Id="rId30" Type="http://schemas.openxmlformats.org/officeDocument/2006/relationships/hyperlink" Target="http://ukdataservice.ac.uk/help/get-in-touch.aspx" TargetMode="External"/><Relationship Id="rId35" Type="http://schemas.openxmlformats.org/officeDocument/2006/relationships/oleObject" Target="http://tweb/sites/rg/project/twptf/twp/20.%20Issues%20Paper/Issues%20Paper%20soft%20close/Charts/02.%20Australias%20tax%20system/2-6%20Composition%20of%20Commonwealth%20taxes%20over%20time.xlsx!Charts!%5b2-6%20Composition%20of%20Commonwealth%20taxes%20over%20time.xlsx%5dCharts%20Chart%201" TargetMode="External"/><Relationship Id="rId43" Type="http://schemas.openxmlformats.org/officeDocument/2006/relationships/image" Target="media/image11.emf"/><Relationship Id="rId48" Type="http://schemas.openxmlformats.org/officeDocument/2006/relationships/hyperlink" Target="http://www.kpmg.com/global/en/services/tax/taxtoolsandresources/pages/corporatetaxratestable.aspx" TargetMode="External"/><Relationship Id="rId56" Type="http://schemas.openxmlformats.org/officeDocument/2006/relationships/hyperlink" Target="http://www.investinganswers.com/financial-dictionary/personal-finance/income-5798"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image" Target="media/image13.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elibrary-data.imf.org" TargetMode="External"/><Relationship Id="rId25" Type="http://schemas.openxmlformats.org/officeDocument/2006/relationships/hyperlink" Target="http://elibrarydata.imf.org" TargetMode="External"/><Relationship Id="rId33" Type="http://schemas.openxmlformats.org/officeDocument/2006/relationships/oleObject" Target="http://tweb/sites/rg/project/twptf/twp/20.%20Issues%20Paper/Issues%20Paper%20soft%20close/Charts/02.%20Australias%20tax%20system/2-6%20Composition%20of%20Commonwealth%20taxes%20over%20time.xlsx!Charts!%5b2-6%20Composition%20of%20Commonwealth%20taxes%20over%20time.xlsx%5dCharts%20Chart%204" TargetMode="External"/><Relationship Id="rId38" Type="http://schemas.openxmlformats.org/officeDocument/2006/relationships/image" Target="media/image9.emf"/><Relationship Id="rId46" Type="http://schemas.openxmlformats.org/officeDocument/2006/relationships/chart" Target="charts/chart1.xml"/><Relationship Id="rId5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footnotes.xml.rels><?xml version="1.0" encoding="UTF-8" standalone="yes"?>
<Relationships xmlns="http://schemas.openxmlformats.org/package/2006/relationships"><Relationship Id="rId3" Type="http://schemas.openxmlformats.org/officeDocument/2006/relationships/hyperlink" Target="http://www.oecd.org/tax/tax-policy/taxing-wages.htm" TargetMode="External"/><Relationship Id="rId2" Type="http://schemas.openxmlformats.org/officeDocument/2006/relationships/hyperlink" Target="http://annualreport.ato.gov.au/01-overview/commissioners-review" TargetMode="External"/><Relationship Id="rId1" Type="http://schemas.openxmlformats.org/officeDocument/2006/relationships/hyperlink" Target="http://www.oecd.org/ctp/glossaryoftaxterm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Resource\Workgroup%20Templates\Publications\TWP_issues_paper_2015.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tweb/sites/rg/project/twptf/twp/20.%20Issues%20Paper/Issues%20Paper%20soft%20close/Charts/02.%20Australias%20tax%20system/2-9%20Trends%20in%20corporate%20tax%20rates%20in%20selected%20countr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391039426523301E-2"/>
          <c:y val="5.5119401730946982E-2"/>
          <c:w val="0.88514982078853044"/>
          <c:h val="0.77936240652046052"/>
        </c:manualLayout>
      </c:layout>
      <c:lineChart>
        <c:grouping val="standard"/>
        <c:varyColors val="0"/>
        <c:ser>
          <c:idx val="0"/>
          <c:order val="0"/>
          <c:tx>
            <c:strRef>
              <c:f>Data!$A$50</c:f>
              <c:strCache>
                <c:ptCount val="1"/>
                <c:pt idx="0">
                  <c:v>Australia</c:v>
                </c:pt>
              </c:strCache>
            </c:strRef>
          </c:tx>
          <c:spPr>
            <a:ln>
              <a:solidFill>
                <a:schemeClr val="accent4"/>
              </a:solidFill>
            </a:ln>
          </c:spPr>
          <c:marker>
            <c:symbol val="none"/>
          </c:marker>
          <c:cat>
            <c:strRef>
              <c:f>Data!$B$49:$P$49</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strCache>
            </c:strRef>
          </c:cat>
          <c:val>
            <c:numRef>
              <c:f>Data!$B$50:$P$50</c:f>
              <c:numCache>
                <c:formatCode>_(* #,##0_);_(* \(#,##0\);_(* "-"??_);_(@_)</c:formatCode>
                <c:ptCount val="15"/>
                <c:pt idx="0">
                  <c:v>34</c:v>
                </c:pt>
                <c:pt idx="1">
                  <c:v>30</c:v>
                </c:pt>
                <c:pt idx="2">
                  <c:v>30</c:v>
                </c:pt>
                <c:pt idx="3">
                  <c:v>30</c:v>
                </c:pt>
                <c:pt idx="4">
                  <c:v>30</c:v>
                </c:pt>
                <c:pt idx="5">
                  <c:v>30</c:v>
                </c:pt>
                <c:pt idx="6">
                  <c:v>30</c:v>
                </c:pt>
                <c:pt idx="7">
                  <c:v>30</c:v>
                </c:pt>
                <c:pt idx="8">
                  <c:v>30</c:v>
                </c:pt>
                <c:pt idx="9">
                  <c:v>30</c:v>
                </c:pt>
                <c:pt idx="10">
                  <c:v>30</c:v>
                </c:pt>
                <c:pt idx="11">
                  <c:v>30</c:v>
                </c:pt>
                <c:pt idx="12">
                  <c:v>30</c:v>
                </c:pt>
                <c:pt idx="13">
                  <c:v>30</c:v>
                </c:pt>
                <c:pt idx="14">
                  <c:v>30</c:v>
                </c:pt>
              </c:numCache>
            </c:numRef>
          </c:val>
          <c:smooth val="0"/>
        </c:ser>
        <c:dLbls>
          <c:showLegendKey val="0"/>
          <c:showVal val="0"/>
          <c:showCatName val="0"/>
          <c:showSerName val="0"/>
          <c:showPercent val="0"/>
          <c:showBubbleSize val="0"/>
        </c:dLbls>
        <c:marker val="1"/>
        <c:smooth val="0"/>
        <c:axId val="132973696"/>
        <c:axId val="132975232"/>
      </c:lineChart>
      <c:lineChart>
        <c:grouping val="standard"/>
        <c:varyColors val="0"/>
        <c:ser>
          <c:idx val="1"/>
          <c:order val="1"/>
          <c:tx>
            <c:strRef>
              <c:f>Data!$A$51</c:f>
              <c:strCache>
                <c:ptCount val="1"/>
                <c:pt idx="0">
                  <c:v>Canada</c:v>
                </c:pt>
              </c:strCache>
            </c:strRef>
          </c:tx>
          <c:marker>
            <c:symbol val="none"/>
          </c:marker>
          <c:cat>
            <c:strRef>
              <c:f>Data!$B$49:$P$49</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strCache>
            </c:strRef>
          </c:cat>
          <c:val>
            <c:numRef>
              <c:f>Data!$B$51:$P$51</c:f>
              <c:numCache>
                <c:formatCode>_(* #,##0_);_(* \(#,##0\);_(* "-"??_);_(@_)</c:formatCode>
                <c:ptCount val="15"/>
                <c:pt idx="0">
                  <c:v>42.43</c:v>
                </c:pt>
                <c:pt idx="1">
                  <c:v>40.480000000000004</c:v>
                </c:pt>
                <c:pt idx="2">
                  <c:v>38.020000000000003</c:v>
                </c:pt>
                <c:pt idx="3">
                  <c:v>35.870000000000005</c:v>
                </c:pt>
                <c:pt idx="4">
                  <c:v>34.380000000000003</c:v>
                </c:pt>
                <c:pt idx="5">
                  <c:v>34.18</c:v>
                </c:pt>
                <c:pt idx="6">
                  <c:v>33.93</c:v>
                </c:pt>
                <c:pt idx="7">
                  <c:v>33.950000000000003</c:v>
                </c:pt>
                <c:pt idx="8">
                  <c:v>31.430000000000003</c:v>
                </c:pt>
                <c:pt idx="9">
                  <c:v>31.019999999999996</c:v>
                </c:pt>
                <c:pt idx="10">
                  <c:v>29.359999999999996</c:v>
                </c:pt>
                <c:pt idx="11">
                  <c:v>27.639999999999997</c:v>
                </c:pt>
                <c:pt idx="12">
                  <c:v>26.14</c:v>
                </c:pt>
                <c:pt idx="13">
                  <c:v>26.14</c:v>
                </c:pt>
                <c:pt idx="14">
                  <c:v>26.3</c:v>
                </c:pt>
              </c:numCache>
            </c:numRef>
          </c:val>
          <c:smooth val="0"/>
        </c:ser>
        <c:ser>
          <c:idx val="2"/>
          <c:order val="2"/>
          <c:tx>
            <c:strRef>
              <c:f>Data!$A$52</c:f>
              <c:strCache>
                <c:ptCount val="1"/>
                <c:pt idx="0">
                  <c:v>United Kingdom</c:v>
                </c:pt>
              </c:strCache>
            </c:strRef>
          </c:tx>
          <c:spPr>
            <a:ln>
              <a:solidFill>
                <a:schemeClr val="accent5">
                  <a:alpha val="50000"/>
                </a:schemeClr>
              </a:solidFill>
            </a:ln>
          </c:spPr>
          <c:marker>
            <c:symbol val="none"/>
          </c:marker>
          <c:cat>
            <c:strRef>
              <c:f>Data!$B$49:$P$49</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strCache>
            </c:strRef>
          </c:cat>
          <c:val>
            <c:numRef>
              <c:f>Data!$B$52:$P$52</c:f>
              <c:numCache>
                <c:formatCode>_(* #,##0_);_(* \(#,##0\);_(* "-"??_);_(@_)</c:formatCode>
                <c:ptCount val="15"/>
                <c:pt idx="0">
                  <c:v>30</c:v>
                </c:pt>
                <c:pt idx="1">
                  <c:v>30</c:v>
                </c:pt>
                <c:pt idx="2">
                  <c:v>30</c:v>
                </c:pt>
                <c:pt idx="3">
                  <c:v>30</c:v>
                </c:pt>
                <c:pt idx="4">
                  <c:v>30</c:v>
                </c:pt>
                <c:pt idx="5">
                  <c:v>30</c:v>
                </c:pt>
                <c:pt idx="6">
                  <c:v>30</c:v>
                </c:pt>
                <c:pt idx="7">
                  <c:v>30</c:v>
                </c:pt>
                <c:pt idx="8">
                  <c:v>28.000000000000004</c:v>
                </c:pt>
                <c:pt idx="9">
                  <c:v>28.000000000000004</c:v>
                </c:pt>
                <c:pt idx="10">
                  <c:v>28.000000000000004</c:v>
                </c:pt>
                <c:pt idx="11">
                  <c:v>26</c:v>
                </c:pt>
                <c:pt idx="12">
                  <c:v>24</c:v>
                </c:pt>
                <c:pt idx="13">
                  <c:v>23</c:v>
                </c:pt>
                <c:pt idx="14">
                  <c:v>21</c:v>
                </c:pt>
              </c:numCache>
            </c:numRef>
          </c:val>
          <c:smooth val="0"/>
        </c:ser>
        <c:ser>
          <c:idx val="3"/>
          <c:order val="3"/>
          <c:tx>
            <c:strRef>
              <c:f>Data!$A$53</c:f>
              <c:strCache>
                <c:ptCount val="1"/>
                <c:pt idx="0">
                  <c:v>United States</c:v>
                </c:pt>
              </c:strCache>
            </c:strRef>
          </c:tx>
          <c:spPr>
            <a:ln>
              <a:solidFill>
                <a:schemeClr val="accent3"/>
              </a:solidFill>
            </a:ln>
          </c:spPr>
          <c:marker>
            <c:symbol val="none"/>
          </c:marker>
          <c:cat>
            <c:strRef>
              <c:f>Data!$B$49:$P$49</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strCache>
            </c:strRef>
          </c:cat>
          <c:val>
            <c:numRef>
              <c:f>Data!$B$53:$P$53</c:f>
              <c:numCache>
                <c:formatCode>_(* #,##0_);_(* \(#,##0\);_(* "-"??_);_(@_)</c:formatCode>
                <c:ptCount val="15"/>
                <c:pt idx="0">
                  <c:v>39.340000000000003</c:v>
                </c:pt>
                <c:pt idx="1">
                  <c:v>39.260000000000005</c:v>
                </c:pt>
                <c:pt idx="2">
                  <c:v>39.300000000000004</c:v>
                </c:pt>
                <c:pt idx="3">
                  <c:v>39.330000000000005</c:v>
                </c:pt>
                <c:pt idx="4">
                  <c:v>39.3095</c:v>
                </c:pt>
                <c:pt idx="5">
                  <c:v>39.277000000000001</c:v>
                </c:pt>
                <c:pt idx="6">
                  <c:v>39.300000000000004</c:v>
                </c:pt>
                <c:pt idx="7">
                  <c:v>39.2575</c:v>
                </c:pt>
                <c:pt idx="8">
                  <c:v>39.250999999999998</c:v>
                </c:pt>
                <c:pt idx="9">
                  <c:v>39.094999999999999</c:v>
                </c:pt>
                <c:pt idx="10">
                  <c:v>39.205500000000001</c:v>
                </c:pt>
                <c:pt idx="11">
                  <c:v>39.186</c:v>
                </c:pt>
                <c:pt idx="12">
                  <c:v>39.134</c:v>
                </c:pt>
                <c:pt idx="13">
                  <c:v>39.134</c:v>
                </c:pt>
                <c:pt idx="14">
                  <c:v>39.1</c:v>
                </c:pt>
              </c:numCache>
            </c:numRef>
          </c:val>
          <c:smooth val="0"/>
        </c:ser>
        <c:ser>
          <c:idx val="5"/>
          <c:order val="4"/>
          <c:tx>
            <c:strRef>
              <c:f>Data!$A$55</c:f>
              <c:strCache>
                <c:ptCount val="1"/>
                <c:pt idx="0">
                  <c:v>Singapore</c:v>
                </c:pt>
              </c:strCache>
            </c:strRef>
          </c:tx>
          <c:spPr>
            <a:ln>
              <a:solidFill>
                <a:schemeClr val="accent1">
                  <a:alpha val="50000"/>
                </a:schemeClr>
              </a:solidFill>
            </a:ln>
          </c:spPr>
          <c:marker>
            <c:symbol val="none"/>
          </c:marker>
          <c:cat>
            <c:strRef>
              <c:f>Data!$B$49:$P$49</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strCache>
            </c:strRef>
          </c:cat>
          <c:val>
            <c:numRef>
              <c:f>Data!$B$55:$P$55</c:f>
              <c:numCache>
                <c:formatCode>_(* #,##0_);_(* \(#,##0\);_(* "-"??_);_(@_)</c:formatCode>
                <c:ptCount val="15"/>
                <c:pt idx="0">
                  <c:v>26</c:v>
                </c:pt>
                <c:pt idx="1">
                  <c:v>25.5</c:v>
                </c:pt>
                <c:pt idx="2">
                  <c:v>24.5</c:v>
                </c:pt>
                <c:pt idx="3">
                  <c:v>22</c:v>
                </c:pt>
                <c:pt idx="4">
                  <c:v>22</c:v>
                </c:pt>
                <c:pt idx="5">
                  <c:v>20</c:v>
                </c:pt>
                <c:pt idx="6">
                  <c:v>20</c:v>
                </c:pt>
                <c:pt idx="7">
                  <c:v>20</c:v>
                </c:pt>
                <c:pt idx="8">
                  <c:v>18</c:v>
                </c:pt>
                <c:pt idx="9">
                  <c:v>18</c:v>
                </c:pt>
                <c:pt idx="10">
                  <c:v>17</c:v>
                </c:pt>
                <c:pt idx="11">
                  <c:v>17</c:v>
                </c:pt>
                <c:pt idx="12">
                  <c:v>17</c:v>
                </c:pt>
                <c:pt idx="13">
                  <c:v>17</c:v>
                </c:pt>
                <c:pt idx="14">
                  <c:v>17</c:v>
                </c:pt>
              </c:numCache>
            </c:numRef>
          </c:val>
          <c:smooth val="0"/>
        </c:ser>
        <c:ser>
          <c:idx val="6"/>
          <c:order val="5"/>
          <c:tx>
            <c:v>DUMMY</c:v>
          </c:tx>
          <c:spPr>
            <a:ln w="25400">
              <a:noFill/>
            </a:ln>
            <a:effectLst/>
          </c:spPr>
          <c:marker>
            <c:symbol val="none"/>
          </c:marker>
          <c:smooth val="0"/>
        </c:ser>
        <c:ser>
          <c:idx val="7"/>
          <c:order val="6"/>
          <c:tx>
            <c:strRef>
              <c:f>Data!$A$56</c:f>
              <c:strCache>
                <c:ptCount val="1"/>
                <c:pt idx="0">
                  <c:v>China</c:v>
                </c:pt>
              </c:strCache>
            </c:strRef>
          </c:tx>
          <c:spPr>
            <a:ln>
              <a:solidFill>
                <a:schemeClr val="accent6">
                  <a:lumMod val="60000"/>
                  <a:lumOff val="40000"/>
                </a:schemeClr>
              </a:solidFill>
            </a:ln>
          </c:spPr>
          <c:marker>
            <c:symbol val="none"/>
          </c:marker>
          <c:val>
            <c:numRef>
              <c:f>Data!$B$56:$P$56</c:f>
              <c:numCache>
                <c:formatCode>_(* #,##0_);_(* \(#,##0\);_(* "-"??_);_(@_)</c:formatCode>
                <c:ptCount val="15"/>
                <c:pt idx="0">
                  <c:v>33</c:v>
                </c:pt>
                <c:pt idx="1">
                  <c:v>33</c:v>
                </c:pt>
                <c:pt idx="2">
                  <c:v>33</c:v>
                </c:pt>
                <c:pt idx="3">
                  <c:v>33</c:v>
                </c:pt>
                <c:pt idx="4">
                  <c:v>33</c:v>
                </c:pt>
                <c:pt idx="5">
                  <c:v>33</c:v>
                </c:pt>
                <c:pt idx="6">
                  <c:v>33</c:v>
                </c:pt>
                <c:pt idx="7">
                  <c:v>33</c:v>
                </c:pt>
                <c:pt idx="8">
                  <c:v>25</c:v>
                </c:pt>
                <c:pt idx="9">
                  <c:v>25</c:v>
                </c:pt>
                <c:pt idx="10">
                  <c:v>25</c:v>
                </c:pt>
                <c:pt idx="11">
                  <c:v>25</c:v>
                </c:pt>
                <c:pt idx="12">
                  <c:v>25</c:v>
                </c:pt>
                <c:pt idx="13">
                  <c:v>25</c:v>
                </c:pt>
                <c:pt idx="14">
                  <c:v>25</c:v>
                </c:pt>
              </c:numCache>
            </c:numRef>
          </c:val>
          <c:smooth val="0"/>
        </c:ser>
        <c:ser>
          <c:idx val="4"/>
          <c:order val="7"/>
          <c:tx>
            <c:strRef>
              <c:f>Data!$A$54</c:f>
              <c:strCache>
                <c:ptCount val="1"/>
                <c:pt idx="0">
                  <c:v>OECD - average</c:v>
                </c:pt>
              </c:strCache>
            </c:strRef>
          </c:tx>
          <c:spPr>
            <a:ln>
              <a:solidFill>
                <a:schemeClr val="tx2"/>
              </a:solidFill>
            </a:ln>
          </c:spPr>
          <c:marker>
            <c:symbol val="none"/>
          </c:marker>
          <c:cat>
            <c:strRef>
              <c:f>Data!$B$49:$P$49</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strCache>
            </c:strRef>
          </c:cat>
          <c:val>
            <c:numRef>
              <c:f>Data!$B$54:$P$54</c:f>
              <c:numCache>
                <c:formatCode>_(* #,##0_);_(* \(#,##0\);_(* "-"??_);_(@_)</c:formatCode>
                <c:ptCount val="15"/>
                <c:pt idx="0">
                  <c:v>32.588490693180297</c:v>
                </c:pt>
                <c:pt idx="1">
                  <c:v>31.640900358929354</c:v>
                </c:pt>
                <c:pt idx="2">
                  <c:v>30.54958140268554</c:v>
                </c:pt>
                <c:pt idx="3">
                  <c:v>30.055458574895482</c:v>
                </c:pt>
                <c:pt idx="4">
                  <c:v>29.227345260275023</c:v>
                </c:pt>
                <c:pt idx="5">
                  <c:v>28.162865145228217</c:v>
                </c:pt>
                <c:pt idx="6">
                  <c:v>27.513835733463509</c:v>
                </c:pt>
                <c:pt idx="7">
                  <c:v>26.985917483389276</c:v>
                </c:pt>
                <c:pt idx="8">
                  <c:v>25.974130524002664</c:v>
                </c:pt>
                <c:pt idx="9">
                  <c:v>25.691601112237954</c:v>
                </c:pt>
                <c:pt idx="10">
                  <c:v>25.646027582826193</c:v>
                </c:pt>
                <c:pt idx="11">
                  <c:v>25.468689347532074</c:v>
                </c:pt>
                <c:pt idx="12">
                  <c:v>25.408336406355609</c:v>
                </c:pt>
                <c:pt idx="13">
                  <c:v>25.483460000000001</c:v>
                </c:pt>
                <c:pt idx="14">
                  <c:v>25.3</c:v>
                </c:pt>
              </c:numCache>
            </c:numRef>
          </c:val>
          <c:smooth val="0"/>
        </c:ser>
        <c:dLbls>
          <c:showLegendKey val="0"/>
          <c:showVal val="0"/>
          <c:showCatName val="0"/>
          <c:showSerName val="0"/>
          <c:showPercent val="0"/>
          <c:showBubbleSize val="0"/>
        </c:dLbls>
        <c:marker val="1"/>
        <c:smooth val="0"/>
        <c:axId val="132987520"/>
        <c:axId val="132985600"/>
      </c:lineChart>
      <c:catAx>
        <c:axId val="132973696"/>
        <c:scaling>
          <c:orientation val="minMax"/>
        </c:scaling>
        <c:delete val="0"/>
        <c:axPos val="b"/>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2975232"/>
        <c:crosses val="autoZero"/>
        <c:auto val="1"/>
        <c:lblAlgn val="ctr"/>
        <c:lblOffset val="100"/>
        <c:tickLblSkip val="2"/>
        <c:tickMarkSkip val="2"/>
        <c:noMultiLvlLbl val="0"/>
      </c:catAx>
      <c:valAx>
        <c:axId val="132975232"/>
        <c:scaling>
          <c:orientation val="minMax"/>
          <c:max val="45"/>
          <c:min val="10"/>
        </c:scaling>
        <c:delete val="0"/>
        <c:axPos val="l"/>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6.1451612903225809E-2"/>
              <c:y val="0"/>
            </c:manualLayout>
          </c:layout>
          <c:overlay val="0"/>
        </c:title>
        <c:numFmt formatCode="_(* #,##0_);_(* \(#,##0\);_(* &quot;-&quot;??_);_(@_)" sourceLinked="1"/>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32973696"/>
        <c:crosses val="autoZero"/>
        <c:crossBetween val="midCat"/>
      </c:valAx>
      <c:valAx>
        <c:axId val="132985600"/>
        <c:scaling>
          <c:orientation val="minMax"/>
          <c:max val="45"/>
          <c:min val="10"/>
        </c:scaling>
        <c:delete val="0"/>
        <c:axPos val="r"/>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0.8752759856630824"/>
              <c:y val="0"/>
            </c:manualLayout>
          </c:layout>
          <c:overlay val="0"/>
        </c:title>
        <c:numFmt formatCode="_(* #,##0_);_(* \(#,##0\);_(* &quot;-&quot;??_);_(@_)"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32987520"/>
        <c:crosses val="max"/>
        <c:crossBetween val="midCat"/>
      </c:valAx>
      <c:catAx>
        <c:axId val="132987520"/>
        <c:scaling>
          <c:orientation val="minMax"/>
        </c:scaling>
        <c:delete val="1"/>
        <c:axPos val="b"/>
        <c:majorTickMark val="out"/>
        <c:minorTickMark val="none"/>
        <c:tickLblPos val="nextTo"/>
        <c:crossAx val="132985600"/>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5"/>
        <c:delete val="1"/>
      </c:legendEntry>
      <c:layout>
        <c:manualLayout>
          <c:xMode val="edge"/>
          <c:yMode val="edge"/>
          <c:x val="1.3598028673835123E-2"/>
          <c:y val="0.91096250000000001"/>
          <c:w val="0.93443154121863803"/>
          <c:h val="8.9037500000000006E-2"/>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chartSpace>
</file>

<file path=word/theme/theme1.xml><?xml version="1.0" encoding="utf-8"?>
<a:theme xmlns:a="http://schemas.openxmlformats.org/drawingml/2006/main" name="Office Theme">
  <a:themeElements>
    <a:clrScheme name="Tax White Paper">
      <a:dk1>
        <a:sysClr val="windowText" lastClr="000000"/>
      </a:dk1>
      <a:lt1>
        <a:sysClr val="window" lastClr="FFFFFF"/>
      </a:lt1>
      <a:dk2>
        <a:srgbClr val="31A7D4"/>
      </a:dk2>
      <a:lt2>
        <a:srgbClr val="FFFFFF"/>
      </a:lt2>
      <a:accent1>
        <a:srgbClr val="31A7D4"/>
      </a:accent1>
      <a:accent2>
        <a:srgbClr val="636363"/>
      </a:accent2>
      <a:accent3>
        <a:srgbClr val="99BC3A"/>
      </a:accent3>
      <a:accent4>
        <a:srgbClr val="F58025"/>
      </a:accent4>
      <a:accent5>
        <a:srgbClr val="C62A46"/>
      </a:accent5>
      <a:accent6>
        <a:srgbClr val="9C9B9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customUI 
	xmlns="http://schemas.microsoft.com/office/2006/01/customui"
	onLoad="RibbonControlATRpt.Onload"
	xmlns:nsCustom="Custom Namespace">
		<ribbon>
			<tabs>
				<tab idQ="nsCustom:TabTreasury">
					<!--<group idMso="GroupFont"/>-->
					<group idQ="nsCustom:grpStylesATRpt" label="CPRS Report Styles">

						<menu id="mnuParagraphText" label="Paragraph Text" >
							<button id="btnNormal" label="Normal (no numbers) (Ctrl+Shift+N)" onAction="RibbonControlATRpt.ChangeParagraphText"/>
							<button id="btnNormalNumbered" label="Normal (numbered)" onAction="RibbonControlATRpt.ChangeParagraphText"/> 
							<button id="btnNormalIndent" label="Normal Indent" onAction="RibbonControlATRpt.ChangeParagraphText"/>
							<button id="btnSingleParagraph" label="Single Paragraph (Ctrl+Shift+S)" 
								onAction="RibbonControlATRpt.ChangeParagraphText"/>

							<menuSeparator id="sep10" />

							<button id="btnBullet" label="Bullet (Ctrl+Shift+B)" 
								onAction="RibbonControlATRpt.ChangeParagraphText"/>
							<button id="btnDash" label="Dash (Ctrl+Shift+D)" 
								onAction="RibbonControlATRpt.ChangeParagraphText"/>
							<button id="btnDDot" label="Double Dot (Ctrl+Shift+O)" 
								onAction="RibbonControlATRpt.ChangeParagraphText"/>

							<menuSeparator id="sep30" />

							<button id="btnOneLevel" label="One Level Numbered Paragraph (Ctrl+Shift+P)"
								imageMso="Numbering" 
								onAction="RibbonControlATRpt.ChangeParagraphText"/>
							<button id="btnAlphaPara" label="Alpha Paragraph (Alt+Ctrl+A)" 
								onAction="RibbonControlATRpt.ChangeParagraphText"/>
							<button id="btnRomanNum" label="Roman numeral Style" onAction="RibbonControlATRpt.ChangeParagraphText"/>
	
							<menuSeparator id="sep31" />

							<button idMso="NumberingRestart" visible="true" label="Restart Alpha Numbering" />
					
						</menu>

						<menu id="mnuHeadingsNoNumbers" label="Headings Styles">
							<button id="btnH1" label="Heading 1   Ctrl+Shift+1" onAction="RibbonControlATRpt.ChangeHeadings"/>
							<button id="btnH2" label="Heading 2   Ctrl+Shift+2" onAction="RibbonControlATRpt.ChangeHeadings"/>
							<button id="btnH3" label="Heading 3   Ctrl+Shift+3" onAction="RibbonControlATRpt.ChangeHeadings"/>
							<button id="btnH4" label="Heading 4   Ctrl+Shift+4" onAction="RibbonControlATRpt.ChangeHeadings"/>
							<button id="btnH5" label="Heading 5   Ctrl+Shift+5" onAction="RibbonControlATRpt.ChangeHeadings"/>
							<button id="btnH6" label="Heading 6   Ctrl+Shift+6" onAction="RibbonControlATRpt.ChangeHeadings"/>

							<menuSeparator id="sep40" />

							<button id="btnAppendixHeading" label="Appendix Heading" onAction="RibbonControlATRpt.ChangeHeadings"/>					
						</menu>



					</group>

					<group idQ="nsCustom:grpTablesChartsATRpt" label="Boxes, Tables and Charts">

						<menu id="mnuBoxes" label="Boxes" imageMso="CharacterShading">
							<button id="btnBoxHeading" label="Box Heading" onAction="RibbonControlATRpt.ChangeBoxes"/>
							<button id="btnBoxText" label="Box Text" onAction="RibbonControlATRpt.ChangeBoxes"/>
							<button id="btnBoxBullet" label="Box Bullet" onAction="RibbonControlATRpt.ChangeBoxes"/>
							<button id="btnBoxDash" label="Box Dash" onAction="RibbonControlATRpt.ChangeBoxes"/>
							<button id="btnBoxDDot" label="Box Double Dot" onAction="RibbonControlATRpt.ChangeBoxes"/>

							<menuSeparator id="sep41" />

							<button id="btnRecommendationHeading" label="Recommendation box heading" onAction="RibbonControlATRpt.ChangeBoxes"/>
							<button id="btnRecommendationText" label="Recommendation box text" onAction="RibbonControlATRpt.ChangeBoxes"/>

						</menu>

						<menu id="mnuTableStyles" label="Tables in Word" imageMso="CreateTable">
							<button id="btnTableMainHead" label="Table Main Heading (Ctrl+Shift+A)" 
								onAction="RibbonControlATRpt.ChangeTables"/>
							<button id="btnTableMainHeadCont" label="Table Main Heading Contd (Alt+A)" 
								onAction="RibbonControlATRpt.ChangeTables"/>
							<button id="btnTableSecondHead" label="Table Second Heading" onAction="RibbonControlATRpt.ChangeTables"/>

							<menuSeparator id="sep80" />

							<button id="btnInsert2ColTbl" label="Insert 2 column table" onAction="RibbonControlATRpt.ChangeTables"/>
							<button id="btnInsert3ColTbl" label="Insert 3 column table" onAction="RibbonControlATRpt.ChangeTables"/>
							<button id="btnInsert4ColTbl" label="Insert 4 column table" onAction="RibbonControlATRpt.ChangeTables"/>
							<button id="btnInsert5ColTbl" label="Insert 5 column table" onAction="RibbonControlATRpt.ChangeTables"/>

							<menuSeparator id="sep81" />
						
							<button id="btnColumnHeadLeft" label="Column Heading Left" onAction="RibbonControlATRpt.ChangeTables"/>
							<button id="btnColumnHeadRight" label="Column Heading Right" onAction="RibbonControlATRpt.ChangeTables"/>
							<button id="btnColumnHeadCentred" label="Column Heading Centred" 
								onAction="RibbonControlATRpt.ChangeTables"/>
							
							<menuSeparator id="sep90" />

							<button id="btnTextLeft" label="Text Left" imageMso="AlignLeft"
								onAction="RibbonControlATRpt.ChangeTables"/>
							<button id="btnTextRight" label="Text Right" imageMso="AlignRight"
								onAction="RibbonControlATRpt.ChangeTables"/>
							<button id="btnTextCentred" label="Text Centred" imageMso="AlignCenter"
								onAction="RibbonControlATRpt.ChangeTables"/>
							<button id="btnTextIndented" label="Text Indented" onAction="RibbonControlATRpt.ChangeTables"/>

							<menuSeparator id="sep100" />

							<button id="btnTableNoteSource" label="Table Note/Source (Ctrl+Shift+F)" 
								onAction="RibbonControlATRpt.ChangeTables"/>
							<button id="btnTableAlphaFootnote" label="Table Footnote Alpha (Alt+Ctrl+T)" 
								onAction="RibbonControlATRpt.ChangeTables"/>
							<button idMso="NumberingRestart" label="Restart Alpha Numbering"/>

							<menuSeparator id="sep101" />

							<button id="btnTableGraphic" label="Table Graphic - fixes line spacing" 
								onAction="RibbonControlATRpt.ChangeTables"/>						
						</menu>

						<menu id="mnuCharts" label="Charts" imageMso="Chart3DColumnChart">
							<button id="btnChartMainHeading" label="Chart Main Heading (Ctrl+Shift+C)" 
								onAction="RibbonControlATRpt.ChangeCharts"/>
							<button id="btnChartSecondHeading" label="Chart Second Heading (Alt+Ctrl+C)" 
								onAction="RibbonControlATRpt.ChangeCharts"/>

							<menuSeparator id="sep110"/>

				
							<button id="btnChartSideBySide" label="Side by Side Charts" onAction="RibbonControlATRpt.ChangeCharts"/>

							<menuSeparator id="sep112"/>

							<button id="btnChartAlphaFootnote" label="Chart Footnote Alpha (Alt+Ctrl+T)" 
								onAction="RibbonControlATRpt.ChangeCharts"/>
							<button id="btnChartNoteSource" label="Chart Note/Source (Ctrl+Shift+F)" 
								onAction="RibbonControlATRpt.ChangeCharts"/>
							<button idMso="NumberingRestart" label="Restart Alpha Numbering"/>

							<menuSeparator id="sep113"/>

							<button id="btnChartGraphic" label="Chart Graphic - fixes line spacing" 
								onAction="RibbonControlATRpt.ChangeCharts"/>
						</menu>
					</group>


					<group idQ="nsCustom:grpAutoTextATRpt" label="AutoText">
							<button id="btnShadedBox" label="Insert Shaded Box" onAction="RibbonControlATRpt.ChangeAT"/>
							<button id="btnKey_message" label="Insert Key message box" onAction="RibbonControlATRpt.ChangeAT"/>
							<button id="btnQuestion" label="Insert Question box" onAction="RibbonControlATRpt.ChangeAT"/>
							<button id="btnCase_study" label="Insert Case study box" onAction="RibbonControlATRpt.ChangeAT"/>
							

					</group>
					


					<group idQ="nsCustom:grpHeaderFooterATRpt" label="Header and Footers">
						<menu id="mnuLandscape" label="Landscape" imageMso="PageOrientationLandscape" size="large">
							<button id="btnLandscapeEvenFooter" label="Even Footer" onAction="RibbonControlATRpt.ChangeHeaderFooter"/>	
							<button id="btnLandscapeEvenHeader" label="Even Header" onAction="RibbonControlATRpt.ChangeHeaderFooter"/>
							<button id="btnLandscapeOddFooter" label="Odd Footer" onAction="RibbonControlATRpt.ChangeHeaderFooter"/>
							<button id="btnLandscapeOddHeader" label="Odd Header" onAction="RibbonControlATRpt.ChangeHeaderFooter"/>
						</menu>
						<menu id="mnuPortrait" label="Portrait" imageMso="PageOrientationPortrait" size="large">
							<button id="btnPortraitEvenFooter" label="Even Footer" onAction="RibbonControlATRpt.ChangeHeaderFooter"/>
							<button id="btnPortraitEvenHeader" label="Even Header" onAction="RibbonControlATRpt.ChangeHeaderFooter"/>
							<button id="btnPortraitOddFooter" label="Odd Footer" onAction="RibbonControlATRpt.ChangeHeaderFooter"/>
							<button id="btnPortraitOddHeader" label="Odd Header" onAction="RibbonControlATRpt.ChangeHeaderFooter"/>
						</menu>
					</group>

				</tab>				
<!--All other comments go here-->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A356CCBB2B4204EB1CD923E8E69F50F" ma:contentTypeVersion="20" ma:contentTypeDescription=" " ma:contentTypeScope="" ma:versionID="8708d588680fc24b1be09adc5961068e">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b3b4f34c0e45d8ed1f426b03d660e25d"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0;#TSY RA-9152 - Retain as national archives|9ab56360-fc55-4e73-997a-d8add4432252"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RA-9152 - Retain as national archives</TermName>
          <TermId xmlns="http://schemas.microsoft.com/office/infopath/2007/PartnerControls">9ab56360-fc55-4e73-997a-d8add4432252</TermId>
        </TermInfo>
      </Terms>
    </lb508a4dc5e84436a0fe496b536466aa>
    <_dlc_DocId xmlns="9f7bc583-7cbe-45b9-a2bd-8bbb6543b37e">2014RG-82-6635</_dlc_DocId>
    <TaxCatchAll xmlns="9f7bc583-7cbe-45b9-a2bd-8bbb6543b37e">
      <Value>20</Value>
    </TaxCatchAll>
    <_dlc_DocIdUrl xmlns="9f7bc583-7cbe-45b9-a2bd-8bbb6543b37e">
      <Url>http://tweb/sites/rg/project/twptf/_layouts/15/DocIdRedir.aspx?ID=2014RG-82-6635</Url>
      <Description>2014RG-82-6635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3183-C638-4A50-802D-5599F76C865D}">
  <ds:schemaRefs>
    <ds:schemaRef ds:uri="http://schemas.microsoft.com/sharepoint/v3/contenttype/forms"/>
  </ds:schemaRefs>
</ds:datastoreItem>
</file>

<file path=customXml/itemProps2.xml><?xml version="1.0" encoding="utf-8"?>
<ds:datastoreItem xmlns:ds="http://schemas.openxmlformats.org/officeDocument/2006/customXml" ds:itemID="{CE4D40B9-A9EB-4893-8FD4-4F0311F8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E5EB3-D423-44A3-BA41-5107C41D3EE9}">
  <ds:schemaRefs>
    <ds:schemaRef ds:uri="http://schemas.microsoft.com/sharepoint/events"/>
  </ds:schemaRefs>
</ds:datastoreItem>
</file>

<file path=customXml/itemProps4.xml><?xml version="1.0" encoding="utf-8"?>
<ds:datastoreItem xmlns:ds="http://schemas.openxmlformats.org/officeDocument/2006/customXml" ds:itemID="{861AAD9D-9DA4-484A-8ABE-46B8A07686AE}">
  <ds:schemaRefs>
    <ds:schemaRef ds:uri="http://www.w3.org/XML/1998/namespace"/>
    <ds:schemaRef ds:uri="http://schemas.microsoft.com/office/infopath/2007/PartnerControls"/>
    <ds:schemaRef ds:uri="http://schemas.openxmlformats.org/package/2006/metadata/core-properties"/>
    <ds:schemaRef ds:uri="http://purl.org/dc/terms/"/>
    <ds:schemaRef ds:uri="http://schemas.microsoft.com/sharepoint/v3"/>
    <ds:schemaRef ds:uri="http://purl.org/dc/dcmitype/"/>
    <ds:schemaRef ds:uri="http://schemas.microsoft.com/office/2006/documentManagement/types"/>
    <ds:schemaRef ds:uri="http://schemas.microsoft.com/office/2006/metadata/properties"/>
    <ds:schemaRef ds:uri="http://purl.org/dc/elements/1.1/"/>
    <ds:schemaRef ds:uri="9f7bc583-7cbe-45b9-a2bd-8bbb6543b37e"/>
  </ds:schemaRefs>
</ds:datastoreItem>
</file>

<file path=customXml/itemProps5.xml><?xml version="1.0" encoding="utf-8"?>
<ds:datastoreItem xmlns:ds="http://schemas.openxmlformats.org/officeDocument/2006/customXml" ds:itemID="{076AF4DF-920B-4A59-BAE1-8464A872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TWP_issues_paper_2015.dotm</Template>
  <TotalTime>0</TotalTime>
  <Pages>22</Pages>
  <Words>7395</Words>
  <Characters>42157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Tax discussion paper</vt:lpstr>
    </vt:vector>
  </TitlesOfParts>
  <Company/>
  <LinksUpToDate>false</LinksUpToDate>
  <CharactersWithSpaces>49454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discussion paper</dc:title>
  <dc:subject>2: Australia's tax system</dc:subject>
  <dc:creator/>
  <cp:lastModifiedBy/>
  <cp:revision>1</cp:revision>
  <dcterms:created xsi:type="dcterms:W3CDTF">2015-03-27T07:56:00Z</dcterms:created>
  <dcterms:modified xsi:type="dcterms:W3CDTF">2015-03-27T08:03:00Z</dcterms:modified>
  <dc:language>English</dc:language>
</cp:coreProperties>
</file>